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och inom 14 meter från avverkningsanmälan finns fynd av 21 naturvårdsarter, varav 13 är rödlistade, 6 är fridlysta, 12 är typiska (T) och 4 är signalarter (S): garnlav (VU, T), skrovlig taggsvamp (VU), blanksvart spiklav (NT), dropptaggsvamp (NT, T), dvärgbägarlav (NT, T), kolflarnlav (NT, T), mörk kolflarnlav (NT), talltita (NT, §4), tretåig hackspett (NT, T, §4), ullticka (NT, T), vedflamlav (NT), vedskivlav (NT, T), vitgrynig nållav (NT), björksplintborre (S), norrlandslav (S, T), nästlav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28113-2026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7071759, E 597749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