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20828-2024 i Sollefteå kommun</w:t>
      </w:r>
    </w:p>
    <w:p>
      <w:r>
        <w:t>Detta klagomål behandlar höga naturvärden i avverkningsanmälan A 20828-2024 i Sollefteå kommun som inkom 2024-05-27 och omfattar 4,7 ha.</w:t>
      </w:r>
    </w:p>
    <w:p>
      <w:pPr>
        <w:pStyle w:val="Caption"/>
      </w:pPr>
      <w:r>
        <w:drawing>
          <wp:inline xmlns:a="http://schemas.openxmlformats.org/drawingml/2006/main" xmlns:pic="http://schemas.openxmlformats.org/drawingml/2006/picture">
            <wp:extent cx="5486400" cy="4886855"/>
            <wp:docPr id="1" name="Picture 1"/>
            <wp:cNvGraphicFramePr>
              <a:graphicFrameLocks noChangeAspect="1"/>
            </wp:cNvGraphicFramePr>
            <a:graphic>
              <a:graphicData uri="http://schemas.openxmlformats.org/drawingml/2006/picture">
                <pic:pic>
                  <pic:nvPicPr>
                    <pic:cNvPr id="0" name="A 20828-2024 karta.png"/>
                    <pic:cNvPicPr/>
                  </pic:nvPicPr>
                  <pic:blipFill>
                    <a:blip r:embed="rId16"/>
                    <a:stretch>
                      <a:fillRect/>
                    </a:stretch>
                  </pic:blipFill>
                  <pic:spPr>
                    <a:xfrm>
                      <a:off x="0" y="0"/>
                      <a:ext cx="5486400" cy="4886855"/>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7038383, E 599498 i SWEREF 99 TM.</w:t>
      </w:r>
    </w:p>
    <w:p>
      <w:r>
        <w:t>I och inom 20 meter från avverkningsanmälan finns fynd av 29 naturvårdsarter, varav 23 är rödlistade, 4 är fridlysta, 23 är typiska (T) och 4 är signalarter (S): doftticka (VU, T, §8), garnlav (VU, T), goliatmusseron (VU, T), gränsticka (VU, T), knärot (VU, T, §8), lappticka (VU, T), skrovlig taggsvamp (VU), ulltickeporing (VU), blå taggsvamp (NT, T), dropptaggsvamp (NT, T), kolflarnlav (NT, T), lunglav (NT, T), mörk kolflarnlav (NT), rosenticka (NT, T), skarp dropptaggsvamp (NT), skrovellav (NT, T), skuggblåslav (NT, T), svartvit taggsvamp (NT), talltagel (NT, T), ullticka (NT, T), vedflamlav (NT), vedskivlav (NT, T), violettgrå tagellav (NT, T), norrlandslav (S, T), nästlav (S, T), skinnlav (S, T), stuplav (S, T), järpe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2.67 ha med buffertzonerna och får av detta skäl inte avverkas.</w:t>
      </w:r>
    </w:p>
    <w:p>
      <w:pPr>
        <w:pStyle w:val="Caption"/>
      </w:pPr>
      <w:r>
        <w:drawing>
          <wp:inline xmlns:a="http://schemas.openxmlformats.org/drawingml/2006/main" xmlns:pic="http://schemas.openxmlformats.org/drawingml/2006/picture">
            <wp:extent cx="5486400" cy="4040328"/>
            <wp:docPr id="2" name="Picture 2"/>
            <wp:cNvGraphicFramePr>
              <a:graphicFrameLocks noChangeAspect="1"/>
            </wp:cNvGraphicFramePr>
            <a:graphic>
              <a:graphicData uri="http://schemas.openxmlformats.org/drawingml/2006/picture">
                <pic:pic>
                  <pic:nvPicPr>
                    <pic:cNvPr id="0" name="A 20828-2024 karta knärot.png"/>
                    <pic:cNvPicPr/>
                  </pic:nvPicPr>
                  <pic:blipFill>
                    <a:blip r:embed="rId17"/>
                    <a:stretch>
                      <a:fillRect/>
                    </a:stretch>
                  </pic:blipFill>
                  <pic:spPr>
                    <a:xfrm>
                      <a:off x="0" y="0"/>
                      <a:ext cx="5486400" cy="404032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7038383, E 599498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27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29 naturvårdsarter varav 23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