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44652-2025 i Sollefteå kommun</w:t>
      </w:r>
    </w:p>
    <w:p>
      <w:r>
        <w:t>Denna tillsynsbegäran behandlar höga naturvärden i avverkningsanmälan A 44652-2025 i Sollefteå kommun som inkom 2025-09-17 och omfattar 8,1 ha.</w:t>
      </w:r>
    </w:p>
    <w:p>
      <w:pPr>
        <w:pStyle w:val="Caption"/>
      </w:pPr>
      <w:r>
        <w:drawing>
          <wp:inline xmlns:a="http://schemas.openxmlformats.org/drawingml/2006/main" xmlns:pic="http://schemas.openxmlformats.org/drawingml/2006/picture">
            <wp:extent cx="5486400" cy="5118764"/>
            <wp:docPr id="1" name="Picture 1"/>
            <wp:cNvGraphicFramePr>
              <a:graphicFrameLocks noChangeAspect="1"/>
            </wp:cNvGraphicFramePr>
            <a:graphic>
              <a:graphicData uri="http://schemas.openxmlformats.org/drawingml/2006/picture">
                <pic:pic>
                  <pic:nvPicPr>
                    <pic:cNvPr id="0" name="A 44652-2025 karta.png"/>
                    <pic:cNvPicPr/>
                  </pic:nvPicPr>
                  <pic:blipFill>
                    <a:blip r:embed="rId16"/>
                    <a:stretch>
                      <a:fillRect/>
                    </a:stretch>
                  </pic:blipFill>
                  <pic:spPr>
                    <a:xfrm>
                      <a:off x="0" y="0"/>
                      <a:ext cx="5486400" cy="511876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7018624, E 602676 i SWEREF 99 TM.</w:t>
      </w:r>
    </w:p>
    <w:p>
      <w:r>
        <w:t>I och inom 25 meter från avverkningsanmälan finns fynd av 25 naturvårdsarter, varav 15 är rödlistade, 4 är fridlysta, 20 är typiska (T) och 8 är signalarter (S): garnlav (VU, T), knärot (VU, T, §8), lappticka (VU, T), rostskinn (VU), gammelgransskål (NT, T), kolflarnlav (NT, T), lunglav (NT, T), Olisthaerus substriatus (NT), rosenticka (NT, T), rynkskinn (NT, T), tretåig hackspett (NT, T, §4), ullticka (NT, T), vaddporing (NT), vedtrappmossa (NT, T), vit vedfingersvamp (NT), blodticka (S, T), bårdlav (S, T), korallblylav (S, T), skinnlav (S, T), stor aspticka (S, T), stuplav (S, T), trådticka (S, T), vedticka (S, T), järpe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5.26 ha med buffertzonerna och får av detta skäl inte avverkas.</w:t>
      </w:r>
    </w:p>
    <w:p>
      <w:pPr>
        <w:pStyle w:val="Caption"/>
      </w:pPr>
      <w:r>
        <w:drawing>
          <wp:inline xmlns:a="http://schemas.openxmlformats.org/drawingml/2006/main" xmlns:pic="http://schemas.openxmlformats.org/drawingml/2006/picture">
            <wp:extent cx="5486400" cy="6762145"/>
            <wp:docPr id="2" name="Picture 2"/>
            <wp:cNvGraphicFramePr>
              <a:graphicFrameLocks noChangeAspect="1"/>
            </wp:cNvGraphicFramePr>
            <a:graphic>
              <a:graphicData uri="http://schemas.openxmlformats.org/drawingml/2006/picture">
                <pic:pic>
                  <pic:nvPicPr>
                    <pic:cNvPr id="0" name="A 44652-2025 karta knärot.png"/>
                    <pic:cNvPicPr/>
                  </pic:nvPicPr>
                  <pic:blipFill>
                    <a:blip r:embed="rId17"/>
                    <a:stretch>
                      <a:fillRect/>
                    </a:stretch>
                  </pic:blipFill>
                  <pic:spPr>
                    <a:xfrm>
                      <a:off x="0" y="0"/>
                      <a:ext cx="5486400" cy="67621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7018624, E 602676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i/>
        </w:rPr>
        <w:t>Olisthaerus substriatus</w:t>
      </w:r>
      <w:r>
        <w:rPr>
          <w:b/>
        </w:rPr>
        <w:t xml:space="preserve"> (NT) </w:t>
      </w:r>
      <w:r>
        <w:t xml:space="preserve">är en kortvinge som lever under barken på lågor och högstubbar av i första hand döda granar, men kan även påträffas på tall och björk. Arten föredrar beskuggade lågor med fuktig bark inne i ganska täta bestånd och dyker först upp på träd som varit döda ett par år, men stannar sedan under cirka ett decennium i samma träd. Larverna påträffas ofta tillsammans med de fullbildade skalbaggarna som kan påträffas under en stor del av året. Den skiljs från den närbesläktade </w:t>
      </w:r>
      <w:r>
        <w:rPr>
          <w:i/>
        </w:rPr>
        <w:t>Olisthaerus megacephalus,</w:t>
      </w:r>
      <w:r>
        <w:t xml:space="preserve"> som den annars liknar, på att huvudet är tydligt smalare än halsskölden och att ögonen är tydligt utstående. Arten hotas starkt av bristen på döda, grova granar i den brukade skogen. Den är redan nu nästan helt tillbakaträngd till rena naturskogsbestånd. Det största hotet är avverkning av tallbestånd med äldre grova granar. Kvarvarande naturskogsbestånd med framför allt gran inom artens nuvarande utbredningsområde behöver bevaras. Vindfällen av grova granar bör sparas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lappticka (VU, T), gammelgransskål (NT, T), kolflarnlav (NT, T), lunglav (NT, T), rosenticka (NT, T), rynkskinn (NT, T), tretåig hackspett (NT, T, §4), ullticka (NT, T), vedtrappmossa (NT, T), blodticka (S, T), bårdlav (S, T), korallblylav (S, T), skinnlav (S, T), stor aspticka (S, T), stuplav (S, T), trådticka (S,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