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3515-2025 i Sollefteå kommun</w:t>
      </w:r>
    </w:p>
    <w:p>
      <w:r>
        <w:t>Denna tillsynsbegäran behandlar höga naturvärden i samrådsanmälan S 3515-2025 i Sollefteå kommun som inkom 2025-12-16 och omfattar 6,3 ha.</w:t>
      </w:r>
    </w:p>
    <w:p>
      <w:pPr>
        <w:pStyle w:val="Caption"/>
      </w:pPr>
      <w:r>
        <w:drawing>
          <wp:inline xmlns:a="http://schemas.openxmlformats.org/drawingml/2006/main" xmlns:pic="http://schemas.openxmlformats.org/drawingml/2006/picture">
            <wp:extent cx="5486400" cy="5614605"/>
            <wp:docPr id="1" name="Picture 1"/>
            <wp:cNvGraphicFramePr>
              <a:graphicFrameLocks noChangeAspect="1"/>
            </wp:cNvGraphicFramePr>
            <a:graphic>
              <a:graphicData uri="http://schemas.openxmlformats.org/drawingml/2006/picture">
                <pic:pic>
                  <pic:nvPicPr>
                    <pic:cNvPr id="0" name="S 3515-2025 karta.png"/>
                    <pic:cNvPicPr/>
                  </pic:nvPicPr>
                  <pic:blipFill>
                    <a:blip r:embed="rId16"/>
                    <a:stretch>
                      <a:fillRect/>
                    </a:stretch>
                  </pic:blipFill>
                  <pic:spPr>
                    <a:xfrm>
                      <a:off x="0" y="0"/>
                      <a:ext cx="5486400" cy="5614605"/>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7013730, E 576944 i SWEREF 99 TM.</w:t>
      </w:r>
    </w:p>
    <w:p>
      <w:r>
        <w:t>I samrådsanmälan finns fynd av 3 naturvårdsarter, varav 3 är rödlistade, 1 är fridlyst och 3 är typiska (T): garnlav (VU, T), lavskrika (NT, T, §4) och lunglav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Lavskrika (NT, §4)</w:t>
      </w:r>
      <w:r>
        <w:t xml:space="preserve"> är rödlistad som nära hotad och fridlyst enligt 4§ artskyddsförordningen. Den har minskat med 20 (10–30) % under de senaste 15 åren och minskningstakten bedöms vara nära gränsvärdet för sårbar (VU). Lavskrikan är en mycket stationär fågel, som häckar i äldre, slutna och hänglavsrika barrskogar. Nyckelfaktorer är flerskiktad skog med rik undervegetation samt riklig förekomst av hänglavar.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Den försvinner successivt framför allt vid dess utbredningsgränser och populationen har minskat kontinuerligt under 2000-talet. Lavskrika är typisk art för </w:t>
      </w:r>
      <w:r>
        <w:rPr>
          <w:i/>
        </w:rPr>
        <w:t>9010 Taiga</w:t>
      </w:r>
      <w:r>
        <w:t xml:space="preserve"> (SLU Artdatabanken, 2026; Skogsstyrelsen 2016).</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w:t>
        <w:br/>
        <w:t>Fridlysta och rödlistade arter</w:t>
      </w:r>
    </w:p>
    <w:p>
      <w:pPr>
        <w:pStyle w:val="Heading1"/>
      </w:pPr>
      <w:r>
        <w:t>Lavskrika – ekologi samt krav på livsmiljön</w:t>
      </w:r>
    </w:p>
    <w:p>
      <w:r>
        <w:t>Lavskrika är rödlistad som nära hotad (NT), fridlyst enligt 4 § artskyddsförordningen (2007:845) och ingår i förteckningen över prioriterade arter i Skogsstyrelsens föreskrifter och allmänna råd (SKSFS 2011:7) bilaga 4. Lavskrikan är en mycket stationär fågel, som häckar i äldre, slutna och hänglavsrika barrskogar. Nyckelfaktorer är flerskiktad skog med rik undervegetation samt riklig förekomst av hänglavar (SLU Artdatabanken, 2026).</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 xml:space="preserve">Populationen har minskat med 20 (10–30) % under de senaste 15 åren och minskningstakten bedöms vara nära gränsvärdet för sårbar (VU). Arten försvinner successivt framför allt vid dess utbredningsgränser och populationen har minskat kontinuerligt under 2000-talet. Lavskrika är typisk art för </w:t>
      </w:r>
      <w:r>
        <w:rPr>
          <w:i/>
        </w:rPr>
        <w:t>9010 Taiga</w:t>
      </w:r>
      <w:r>
        <w:t xml:space="preserve"> (SLU Artdatabanken, 2026).</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2026.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