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2697-2026 i Sollefteå kommun</w:t>
      </w:r>
    </w:p>
    <w:p>
      <w:r>
        <w:t>Detta klagomål behandlar höga naturvärden i samrådsanmälan S 2697-2026 i Sollefteå kommun som inkom 2026-10-16 och omfattar 4,3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S 2697-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7024867, E 573580 i SWEREF 99 TM.</w:t>
      </w:r>
    </w:p>
    <w:p>
      <w:r>
        <w:t>I och inom 13 meter från samrådsanmälan finns fynd av 18 naturvårdsarter, varav 11 är rödlistade, 3 är fridlysta, 17 är typiska (T) och 6 är signalarter (S): garnlav (VU, T), knärot (VU, T, §8), dropptaggsvamp (NT, T), dvärgbägarlav (NT, T), kolflarnlav (NT, T), lunglav (NT, T), mörk kolflarnlav (NT), skrovellav (NT, T), tretåig hackspett (NT, T, §4), ullticka (NT, T), vedskivlav (NT, T), bårdlav (S, T), luddlav (S, T), norrlandslav (S, T), rävticka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14 fyndplatser för knärot registrerade på Artportalen. Figur 2 visar gränserna för buffertzoner på 50 m, som behöver lämnas kring fyndplatserna för att knärotslokalerna inte ska försvinna vid en avverkning. Av det samrådsanmälda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S 2697-2026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7024867, E 573580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