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39172-2022 i Sollefteå kommun</w:t>
      </w:r>
    </w:p>
    <w:p>
      <w:r>
        <w:t>Detta klagomål behandlar höga naturvärden i avverkningsanmälan A 39172-2022 i Sollefteå kommun som inkom 2022-09-13 och omfattar 69,2 ha.</w:t>
      </w:r>
    </w:p>
    <w:p>
      <w:pPr>
        <w:pStyle w:val="Caption"/>
      </w:pPr>
      <w:r>
        <w:drawing>
          <wp:inline xmlns:a="http://schemas.openxmlformats.org/drawingml/2006/main" xmlns:pic="http://schemas.openxmlformats.org/drawingml/2006/picture">
            <wp:extent cx="5486400" cy="4894397"/>
            <wp:docPr id="1" name="Picture 1"/>
            <wp:cNvGraphicFramePr>
              <a:graphicFrameLocks noChangeAspect="1"/>
            </wp:cNvGraphicFramePr>
            <a:graphic>
              <a:graphicData uri="http://schemas.openxmlformats.org/drawingml/2006/picture">
                <pic:pic>
                  <pic:nvPicPr>
                    <pic:cNvPr id="0" name="A 39172-2022 karta.png"/>
                    <pic:cNvPicPr/>
                  </pic:nvPicPr>
                  <pic:blipFill>
                    <a:blip r:embed="rId16"/>
                    <a:stretch>
                      <a:fillRect/>
                    </a:stretch>
                  </pic:blipFill>
                  <pic:spPr>
                    <a:xfrm>
                      <a:off x="0" y="0"/>
                      <a:ext cx="5486400" cy="4894397"/>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7059987, E 554599 i SWEREF 99 TM.</w:t>
      </w:r>
    </w:p>
    <w:p>
      <w:r>
        <w:t>I och inom 24 meter från avverkningsanmälan finns fynd av 15 naturvårdsarter, varav 12 är rödlistade, 1 är fridlyst, 13 är typiska (T) och 3 är signalarter (S): garnlav (VU, T), gräddporing (VU, T), gräddticka (VU), dvärgbägarlav (NT, T), lavskrika (NT, T, §4), lunglav (NT, T), rosenticka (NT, T), rynkskinn (NT, T), skarp dropptaggsvamp (NT), skrovellav (NT, T), stjärntagging (NT, T), ullticka (NT, T), korallblylav (S, T), skinnlav (S, T) och stor aspticka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Gräddticka (VU)</w:t>
      </w:r>
      <w:r>
        <w:t xml:space="preserve"> har klassificerats som en ”gammelskogsindikator” och signalerar granskogar med höga naturvärden. Den kräver miljöer med hög och jämn fuktighet och växtplatserna ligger oftast på näringsrik, fuktig eller blöt mark där lågan och den murkna veden hålls konstant fuktig. Slutavverkning av gammelgranskog är ett direkt hot mot artens existens i landet och artens växtplatser måste undantas från skogsbruk (SLU Artdatabanken, 2024;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