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57987-2025 i Sollefteå kommun</w:t>
      </w:r>
    </w:p>
    <w:p>
      <w:r>
        <w:t>Detta klagomål behandlar höga naturvärden i avverkningsanmälan A 57987-2025 i Sollefteå kommun som inkom 2025-11-21 och omfattar 2,8 ha.</w:t>
      </w:r>
    </w:p>
    <w:p>
      <w:pPr>
        <w:pStyle w:val="Caption"/>
      </w:pPr>
      <w:r>
        <w:drawing>
          <wp:inline xmlns:a="http://schemas.openxmlformats.org/drawingml/2006/main" xmlns:pic="http://schemas.openxmlformats.org/drawingml/2006/picture">
            <wp:extent cx="5486400" cy="5211137"/>
            <wp:docPr id="1" name="Picture 1"/>
            <wp:cNvGraphicFramePr>
              <a:graphicFrameLocks noChangeAspect="1"/>
            </wp:cNvGraphicFramePr>
            <a:graphic>
              <a:graphicData uri="http://schemas.openxmlformats.org/drawingml/2006/picture">
                <pic:pic>
                  <pic:nvPicPr>
                    <pic:cNvPr id="0" name="A 57987-2025 karta.png"/>
                    <pic:cNvPicPr/>
                  </pic:nvPicPr>
                  <pic:blipFill>
                    <a:blip r:embed="rId16"/>
                    <a:stretch>
                      <a:fillRect/>
                    </a:stretch>
                  </pic:blipFill>
                  <pic:spPr>
                    <a:xfrm>
                      <a:off x="0" y="0"/>
                      <a:ext cx="5486400" cy="5211137"/>
                    </a:xfrm>
                    <a:prstGeom prst="rect"/>
                  </pic:spPr>
                </pic:pic>
              </a:graphicData>
            </a:graphic>
          </wp:inline>
        </w:drawing>
      </w:r>
    </w:p>
    <w:p>
      <w:pPr>
        <w:pStyle w:val="Caption"/>
        <w:spacing w:after="240"/>
      </w:pPr>
      <w:r>
        <w:t>Figur 1. Fyndplatser för naturvårdsarter i och inom 5 meter från avverkningsanmälan. Markörer utan svart kant är placerade på fyndplatsen. Markörer med svart kant är placerade vid sidan av fyndplatsen och har ett svart streck som visar fyndplatsens exakta position. Kartans mittpunktskoordinat är N 7036946, E 591846 i SWEREF 99 TM.</w:t>
      </w:r>
    </w:p>
    <w:p>
      <w:r>
        <w:t>I och inom 5 meter från avverkningsanmälan finns fynd av 2 naturvårdsarter, varav 1 är fridlyst, 2 är typiska (T) och 1 är signalart (S): stuplav (S, T) och gråspett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Gråspett (§4)</w:t>
      </w:r>
      <w:r>
        <w:t xml:space="preserve"> är fridlyst enligt 4§ artskyddsförordningen och upptagen i bilaga 1 fågeldirektivet. Gråspetten är en bra indikator för lövrika områden på landskapsnivå och försvinner när gles, flerskiktad, lövrik skog med hög andel döda och döende träd ersätts av täta, barrdominerade likåldriga bestånd. Arten missgynnas av skogliga åtgärder som minskar mängden död ved, som t.ex. bortrensning av vindfällen, avverkning i sumpskogsmiljöer och på brandfält. Häckningsreviret är stort, cirka 50–100 hektar. Under vintern är gråspetten mer beroende av äldre skog och döda träd och kan då röra sig över betydligt större områden, uppemot 2000–5000 hektar. Gråspett är typisk art för </w:t>
      </w:r>
      <w:r>
        <w:rPr>
          <w:i/>
        </w:rPr>
        <w:t xml:space="preserve">9010 Taiga </w:t>
      </w:r>
      <w:r>
        <w:t>(Skogsstyrelsen, 2016;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