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2068-2026 i Sollefteå kommun</w:t>
      </w:r>
    </w:p>
    <w:p>
      <w:r>
        <w:t>Denna tillsynsbegäran behandlar höga naturvärden i samrådsanmälan S 2068-2026 i Sollefteå kommun som inkom 2026-07-24 och omfattar 24,3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S 2068-2026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6994633, E 607800 i SWEREF 99 TM.</w:t>
      </w:r>
    </w:p>
    <w:p>
      <w:r>
        <w:t>I och inom 23 meter från samrådsanmälan finns fynd av 35 naturvårdsarter, varav 17 är rödlistade, 8 är fridlysta, 30 är typiska (T) och 11 är signalarter (S): garnlav (VU, T), gränsticka (VU, T), knärot (VU, T, §8), lappticka (VU, T), ulltickeporing (VU), brunpudrad nållav (NT, T), doftskinn (NT, T), gammelgransskål (NT, T), harticka (NT, T), lunglav (NT, T), rosenticka (NT, T), rynkskinn (NT, T), talltita (NT, §4), tretåig hackspett (NT, T, §4), ullticka (NT, T), violettgrå tagellav (NT, T), vitgrynig nållav (NT), barkkornlav (S, T), brandticka (S), bårdlav (S, T), gulnål (S, T), korallblylav (S, T), korallrot (S, T, §8), kornig nållav (S, T), skinnlav (S, T), stor aspticka (S, T), stuplav (S, T), vedticka (S, T), ekbräken (T), hultbräken (T), kransmossa (T), spillkråka (T, §4), tjäder (T, §4), tofsmes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6.35 ha med buffertzonerna och får av detta skäl inte avverkas.</w:t>
      </w:r>
    </w:p>
    <w:p>
      <w:pPr>
        <w:pStyle w:val="Caption"/>
      </w:pPr>
      <w:r>
        <w:drawing>
          <wp:inline xmlns:a="http://schemas.openxmlformats.org/drawingml/2006/main" xmlns:pic="http://schemas.openxmlformats.org/drawingml/2006/picture">
            <wp:extent cx="5486400" cy="8043035"/>
            <wp:docPr id="2" name="Picture 2"/>
            <wp:cNvGraphicFramePr>
              <a:graphicFrameLocks noChangeAspect="1"/>
            </wp:cNvGraphicFramePr>
            <a:graphic>
              <a:graphicData uri="http://schemas.openxmlformats.org/drawingml/2006/picture">
                <pic:pic>
                  <pic:nvPicPr>
                    <pic:cNvPr id="0" name="S 2068-2026 karta knärot.png"/>
                    <pic:cNvPicPr/>
                  </pic:nvPicPr>
                  <pic:blipFill>
                    <a:blip r:embed="rId17"/>
                    <a:stretch>
                      <a:fillRect/>
                    </a:stretch>
                  </pic:blipFill>
                  <pic:spPr>
                    <a:xfrm>
                      <a:off x="0" y="0"/>
                      <a:ext cx="5486400" cy="80430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6994633, E 607800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knärot (VU, T, §8), lappticka (VU, T), brunpudrad nållav (NT, T), doftskinn (NT, T), gammelgransskål (NT, T), harticka (NT, T), lunglav (NT, T), rosenticka (NT, T), rynkskinn (NT, T), tretåig hackspett (NT, T, §4), ullticka (NT, T), violettgrå tagellav (NT, T), barkkornlav (S, T), bårdlav (S, T), gulnål (S, T), korallblylav (S, T), korallrot (S, T, §8), kornig nållav (S, T), skinnlav (S, T), stor aspticka (S, T), stuplav (S, T), vedticka (S, T), ekbräken (T), hultbräken (T), kransmossa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