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43074-2021 i Sollefteå kommun</w:t>
      </w:r>
    </w:p>
    <w:p>
      <w:r>
        <w:t>Detta dokument behandlar höga naturvärden i avverkningsanmälan A 43074-2021 i Sollefteå kommun. Denna avverkningsanmälan inkom 2021-08-23 00:00:00 och omfattar 17,4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36 naturvårdsarter hittats: blackticka (VU), grantickeporing (VU), gräddticka (VU), knärot (VU, §8), lappticka (VU), rynkskinn (VU), fyrflikig jordstjärna (NT), gammelgransskål (NT), garnlav (NT), grantaggsvamp (NT), granticka (NT), harticka (NT), orange taggsvamp (NT), persiljespindling (NT), puderspindling (NT), rosenticka (NT), stjärntagging (NT), svart taggsvamp (NT), svartvit taggsvamp (NT), talltaggsvamp (NT), talltita (NT, §4), tretåig hackspett (NT, §4), ullticka (NT), vitgrynig nållav (NT), äggvaxskivling (NT), bronshjon (S), dropptaggsvamp (S), fjällig taggsvamp s.str. (S), kamjordstjärna (S), rökmusseron (S), skarp dropptaggsvamp (S), spindelblomster (S, §8), trådticka (S), vedticka (S), vågbandad barkbock (S) och blåsippa (§9). Av dessa är 25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19842"/>
            <wp:docPr id="1" name="Picture 1"/>
            <wp:cNvGraphicFramePr>
              <a:graphicFrameLocks noChangeAspect="1"/>
            </wp:cNvGraphicFramePr>
            <a:graphic>
              <a:graphicData uri="http://schemas.openxmlformats.org/drawingml/2006/picture">
                <pic:pic>
                  <pic:nvPicPr>
                    <pic:cNvPr id="0" name="A 43074-2021 karta.png"/>
                    <pic:cNvPicPr/>
                  </pic:nvPicPr>
                  <pic:blipFill>
                    <a:blip r:embed="rId16"/>
                    <a:stretch>
                      <a:fillRect/>
                    </a:stretch>
                  </pic:blipFill>
                  <pic:spPr>
                    <a:xfrm>
                      <a:off x="0" y="0"/>
                      <a:ext cx="5486400" cy="33198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7008055, E 614447 i SWEREF 99 TM.</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 xml:space="preserve">Fyrflikig jordstjärna (NT) </w:t>
      </w:r>
      <w:r>
        <w:t>är en nedbrytare i löv- eller barrförna i skogsmark på väl dränerade och mer eller mindre kalkrika jordar. Den är främst funnen i örtrika gamla barrskogar, med eller utan lövträdsinslag, där den växer i nakna eller mosstäckta välutvecklade barrmattor, under gran, tall, en och ibland idegran. Artens växtplatser, och även den närliggande skogsmiljön kring växtplatserna, bör undantas från slutavverkning och genomgripande gallringar (SLU Artdatabanken, 2024).</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Grantickeporing (VU)</w:t>
      </w:r>
      <w:r>
        <w:t xml:space="preserve"> växer på murken ved och döda fruktkroppar av granticka (NT) och gränsticka (NT). Den förekommer i naturskogsliknade granskogar, gärna i fuktiga miljöer vid källbäckar och liknande. Avverkning av naturskogslika miljöer och av grova granar där grantickeporing förekommer är ett direkt hot mot artens fortlevnad. Gamla granskogar som hyser arten undantas helt från skogsbruk (SLU Artdatabanken, 2024).</w:t>
      </w:r>
    </w:p>
    <w:p>
      <w:r>
        <w:rPr>
          <w:b/>
        </w:rPr>
        <w:t>Gräddticka (VU)</w:t>
      </w:r>
      <w:r>
        <w:t xml:space="preserve"> har klassificerats som en ”gammelskogsindikator” och signalerar granskogar med höga naturvärden. Den kräver miljöer med hög och jämn fuktighet och växtplatserna ligger oftast på näringsrik, fuktig eller blöt mark där lågan och den murkna veden hålls konstant fuktig. Slutavverkning av gammelgranskog är ett direkt hot mot artens existens i landet och artens växtplatser måste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Lappticka (VU)</w:t>
      </w:r>
      <w:r>
        <w:t>, rödlistad som sårbar, är knuten till gamla granskogar med riklig förekomst av död ved. Den klassas som en “urskogsindikator” och alla skogsskötselåtgärder på eller i omedelbar närhet av lokalerna utgör ett hot (Nitare &amp; Skogsstyrelsen, 2019;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Persiljespindling (NT)</w:t>
      </w:r>
      <w:r>
        <w:t xml:space="preserve"> bildar mykorrhiza med tall, gran och bok i ängsgranskog, kalktallskog och i ängsbokskog på rikare mark. Minskningstakten uppgår till 15 % inom 50 år och bedöms vara nära gränsvärdet för Sårbar (VU). (A2c+3c+4c). Persiljespindlingen hotas av avverkningar och är särskilt känslig eftersom den är knuten till äldre, produktiv barrskog, d.v.s. en skogstyp som är en bristvara i skyddade områden i Sverige och som samtidigt försvinner i snabb takt genom slutavverkningar. Skyddet för äldre ört- och kalkrika barrskogar med trädkontinuitet måste öka och oskyddade bokskogar med persiljespindling måste få ett formellt skydd i form av biotopskydd eller naturreservat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pPr>
        <w:pStyle w:val="Heading1"/>
      </w:pPr>
      <w:r>
        <w:t>Fridlysta arter</w:t>
      </w:r>
    </w:p>
    <w:p>
      <w:r>
        <w:t>Följande fridlysta arter har sina livsmiljöer och växtplatser i den avverkningsanmälda skogen: knärot (VU, §8), talltita (NT, §4), tretåig hackspett (NT, §4), spindelblomster (S,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40 fyndplatser för knärot registrerade på Artportalen. Figur 2 visar gränserna för buffertzoner på 50 m, som behöver lämnas kring fyndplatserna för att knärotslokalerna inte ska försvinna vid en avverkning. Av det avverkningsanmälda området överlappar 6.83 ha med buffertzonerna och får av detta skäl inte avverkas.</w:t>
      </w:r>
    </w:p>
    <w:p>
      <w:pPr>
        <w:pStyle w:val="Caption"/>
      </w:pPr>
      <w:r>
        <w:drawing>
          <wp:inline xmlns:a="http://schemas.openxmlformats.org/drawingml/2006/main" xmlns:pic="http://schemas.openxmlformats.org/drawingml/2006/picture">
            <wp:extent cx="5486400" cy="3850464"/>
            <wp:docPr id="2" name="Picture 2"/>
            <wp:cNvGraphicFramePr>
              <a:graphicFrameLocks noChangeAspect="1"/>
            </wp:cNvGraphicFramePr>
            <a:graphic>
              <a:graphicData uri="http://schemas.openxmlformats.org/drawingml/2006/picture">
                <pic:pic>
                  <pic:nvPicPr>
                    <pic:cNvPr id="0" name="A 43074-2021 karta knärot.png"/>
                    <pic:cNvPicPr/>
                  </pic:nvPicPr>
                  <pic:blipFill>
                    <a:blip r:embed="rId17"/>
                    <a:stretch>
                      <a:fillRect/>
                    </a:stretch>
                  </pic:blipFill>
                  <pic:spPr>
                    <a:xfrm>
                      <a:off x="0" y="0"/>
                      <a:ext cx="5486400" cy="385046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7008055, E 614447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