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57942-2021 i Sollefteå kommun</w:t>
      </w:r>
    </w:p>
    <w:p>
      <w:r>
        <w:t>Denna tillsynsbegäran behandlar höga naturvärden i avverkningsanmälan A 57942-2021 i Sollefteå kommun som inkom 2021-10-18 och omfattar 14,2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7062840, E 609177 i SWEREF 99 TM.</w:t>
      </w:r>
    </w:p>
    <w:p>
      <w:r>
        <w:t>I och inom 25 meter från avverkningsanmälan finns fynd av 25 naturvårdsarter, varav 16 är rödlistade, 8 är fridlysta, 19 är typiska (T) och 7 är signalarter (S): blackticka (VU), doftticka (VU, T, §8), garnlav (VU, T), knärot (VU, T, §8), ulltickeporing (VU), kolflarnlav (NT, T), lunglav (NT, T), rosenticka (NT, T), skogshare (NT), skrovellav (NT, T), tallticka (NT, T), talltita (NT, §4), tretåig hackspett (NT, T, §4), ullticka (NT, T), vedflikmossa (NT), vedtrappmossa (NT, T), luddlav (S, T), plattlummer (S, T, §9), spindelblomster (S, T, §8), stuplav (S, T), trådticka (S, T), vedticka (S, T), ögonpyrola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82 fyndplatser för knärot registrerade på Artportalen. Figur 2 visar gränserna för buffertzoner på 50 m, som behöver lämnas kring fyndplatserna för att knärotslokalerna inte ska försvinna vid en avverkning. Av det avverkningsanmälda området överlappar 12.43 ha med buffertzonerna och får av detta skäl inte avverkas.</w:t>
      </w:r>
    </w:p>
    <w:p>
      <w:pPr>
        <w:pStyle w:val="Caption"/>
      </w:pPr>
      <w:r>
        <w:drawing>
          <wp:inline xmlns:a="http://schemas.openxmlformats.org/drawingml/2006/main" xmlns:pic="http://schemas.openxmlformats.org/drawingml/2006/picture">
            <wp:extent cx="5486400" cy="5229991"/>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52299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kolflarnlav (NT, T), lunglav (NT, T), rosenticka (NT, T), skrovellav (NT, T), tallticka (NT, T), tretåig hackspett (NT, T, §4), ullticka (NT, T), vedtrappmossa (NT, T), luddlav (S, T), plattlummer (S, T, §9),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