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21345-2023 i Sollefteå kommun</w:t>
      </w:r>
    </w:p>
    <w:p>
      <w:r>
        <w:t>Detta dokument behandlar höga naturvärden i avverkningsanmälan A 21345-2023 i Sollefteå kommun. Denna avverkningsanmälan inkom 2023-05-16 00:00:00 och omfattar 3,3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och rödlistade arter.</w:t>
      </w:r>
    </w:p>
    <w:p>
      <w:pPr>
        <w:pStyle w:val="Heading1"/>
      </w:pPr>
      <w:r>
        <w:t>Naturvårdsarter</w:t>
      </w:r>
    </w:p>
    <w:p>
      <w:r>
        <w:t>I avverkningsanmälan har följande 8 naturvårdsarter hittats: gammelgransskål (NT), kolflarnlav (NT), lunglav (NT), mörk kolflarnlav (NT), talltita (NT, §4), ullticka (NT), korallrot (S, §8) och stuplav (S). Av dessa är 6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133577"/>
            <wp:docPr id="1" name="Picture 1"/>
            <wp:cNvGraphicFramePr>
              <a:graphicFrameLocks noChangeAspect="1"/>
            </wp:cNvGraphicFramePr>
            <a:graphic>
              <a:graphicData uri="http://schemas.openxmlformats.org/drawingml/2006/picture">
                <pic:pic>
                  <pic:nvPicPr>
                    <pic:cNvPr id="0" name="A 21345-2023 karta.png"/>
                    <pic:cNvPicPr/>
                  </pic:nvPicPr>
                  <pic:blipFill>
                    <a:blip r:embed="rId16"/>
                    <a:stretch>
                      <a:fillRect/>
                    </a:stretch>
                  </pic:blipFill>
                  <pic:spPr>
                    <a:xfrm>
                      <a:off x="0" y="0"/>
                      <a:ext cx="5486400" cy="513357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7086362, E 583904 i SWEREF 99 TM.</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Gammelgransskål är typisk art för </w:t>
      </w:r>
      <w:r>
        <w:rPr>
          <w:i/>
        </w:rPr>
        <w:t>9010 Taiga</w:t>
      </w:r>
      <w:r>
        <w:t xml:space="preserve"> (SLU Artdatabanken, 2024; Nitare &amp; Skogsstyrelsen, 2019).</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Kolflarnlav är typisk art för </w:t>
      </w:r>
      <w:r>
        <w:rPr>
          <w:i/>
        </w:rPr>
        <w:t>9010 Taiga</w:t>
      </w:r>
      <w:r>
        <w:t xml:space="preserve"> (SLU Artdatabanken, 2024).</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2025; SLU Artdatabanken, 2024; Nitare &amp; Skogsstyrelsen, 2019).</w:t>
      </w:r>
    </w:p>
    <w:p>
      <w:r>
        <w:rPr>
          <w:b/>
        </w:rPr>
        <w:t>Mörk kolflarnlav (NT)</w:t>
      </w:r>
      <w:r>
        <w:t xml:space="preserve"> är brandberoende och växer nästan uteslutande på kolad hård kärnved av tall. Arten förekommer främst i glesa, öppna tall- och blandbarrskogar av naturskogskaraktär och etableringen verkar ske sent efter brand, kanske först efter 100–300 år. Mörk kolflarnlav indikerar skog med höga naturvärden och vanligast är att den påträffas på rester av nedbrunna torrakor och högstubbar och lågstubbar som är så grova att hela innandömet är urbränt. Tall- och blandbarrskogar av naturskogskaraktär med spår av återkommande bränder hyser höga biologiska värden och bör skyddas (SLU Artdatabanken, 2024).</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Stuplav är typisk art för </w:t>
      </w:r>
      <w:r>
        <w:rPr>
          <w:i/>
        </w:rPr>
        <w:t>9010 Taiga</w:t>
      </w:r>
      <w:r>
        <w:t xml:space="preserve">. I skogar med suboceaniskt klimat finns det en mycket sällsynt parasit, njurlavsknapp </w:t>
      </w:r>
      <w:r>
        <w:rPr>
          <w:i/>
        </w:rPr>
        <w:t>Pletocarpon nephromeum</w:t>
      </w:r>
      <w:r>
        <w:t xml:space="preserve"> (EN), som växer på stuplav (SLU Artdatabanken, 2024;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Ullticka är typisk art för </w:t>
      </w:r>
      <w:r>
        <w:rPr>
          <w:i/>
        </w:rPr>
        <w:t xml:space="preserve">9010 Taiga, 9050 Näringsrik granskog </w:t>
      </w:r>
      <w:r>
        <w:t xml:space="preserve">och </w:t>
      </w:r>
      <w:r>
        <w:rPr>
          <w:i/>
        </w:rPr>
        <w:t>9030 Landhöjningsskog</w:t>
      </w:r>
      <w:r>
        <w:t xml:space="preserve">.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pPr>
        <w:pStyle w:val="Heading1"/>
      </w:pPr>
      <w:r>
        <w:t>Fridlysta arter</w:t>
      </w:r>
    </w:p>
    <w:p>
      <w:r>
        <w:t>Följande fridlysta arter har sina livsmiljöer och växtplatser i den avverkningsanmälda skogen: talltita (NT, §4) och korallrot (S, §8).</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Korallrot (§8)</w:t>
      </w:r>
      <w:r>
        <w:t xml:space="preserve"> växer i sumpskogar och annan fuktig eller växelfuktig skogsmark, exempelvis i alkärr och kärrkanter, fuktiga bäckdalar, raviner, myrlaggar, sumpiga strandskogar samt i fuktiga lundar. Den visar på mer eller mindre stabila förhållanden och intakt hydrologi och är känslig för avverkning, körskador, skogsgödsling och dikning. Korallrot är typisk art för </w:t>
      </w:r>
      <w:r>
        <w:rPr>
          <w:i/>
        </w:rPr>
        <w:t>9080 Lövsumpskog</w:t>
      </w:r>
      <w:r>
        <w:t xml:space="preserve"> ochfridlyst enligt 8 § artskyddsförordningen (SLU Artdatabanken, 2024; Nitare &amp; Skogsstyrelsen, 2019).</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r>
        <w:br w:type="page"/>
      </w:r>
    </w:p>
    <w:p>
      <w:pPr>
        <w:pStyle w:val="Title"/>
      </w:pPr>
      <w:r>
        <w:t>BILAGA 1 –</w:t>
        <w:br/>
        <w:t>Fridlysta och rödlistade arter</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2026-02-08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