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39071-2023 i Sollefteå kommun</w:t>
      </w:r>
    </w:p>
    <w:p>
      <w:r>
        <w:t>Detta dokument behandlar höga naturvärden i avverkningsanmälan A 39071-2023 i Sollefteå kommun. Denna avverkningsanmälan inkom 2023-08-25 00:00:00 och omfattar 16,5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8 naturvårdsarter hittats: rynkskinn (VU), gammelgransskål (NT), granticka (NT), kötticka (NT), rosenticka (NT), spillkråka (NT, §4), ullticka (NT) och vedticka (S).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94639"/>
            <wp:docPr id="1" name="Picture 1"/>
            <wp:cNvGraphicFramePr>
              <a:graphicFrameLocks noChangeAspect="1"/>
            </wp:cNvGraphicFramePr>
            <a:graphic>
              <a:graphicData uri="http://schemas.openxmlformats.org/drawingml/2006/picture">
                <pic:pic>
                  <pic:nvPicPr>
                    <pic:cNvPr id="0" name="A 39071-2023 karta.png"/>
                    <pic:cNvPicPr/>
                  </pic:nvPicPr>
                  <pic:blipFill>
                    <a:blip r:embed="rId16"/>
                    <a:stretch>
                      <a:fillRect/>
                    </a:stretch>
                  </pic:blipFill>
                  <pic:spPr>
                    <a:xfrm>
                      <a:off x="0" y="0"/>
                      <a:ext cx="5486400" cy="48946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7014408, E 570971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Kötticka (NT)</w:t>
      </w:r>
      <w:r>
        <w:t xml:space="preserve"> är granens kötticka och har klassificerats som ”gammelskogsindikator”, då den förekommer med ett tydligt optimum i äldre barrskogar, främst fuktiga granskogar. Den har högst signalvärde söder om den naturliga norrlandsgränsen </w:t>
      </w:r>
      <w:r>
        <w:rPr>
          <w:i/>
        </w:rPr>
        <w:t>limes norrlandicus</w:t>
      </w:r>
      <w:r>
        <w:t>, men signalerar vanligtvis höga naturvärden även i Norrland. Arten är knuten till miljöer med konstant luftfuktighet och känslig för uttorkning som en avverkning kan medföra. Den totala populationen bedöms därför ha minskat under de senaste 30 åren och fortsätter att minska i takt med att grankontinuitetsskogar (skogar som inte kalavverkats) minskar i areal, samtidigt som att lämpliga miljöer inte återskapas i samma takt (SLU Artdatabanken, 2024;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Rynkskinn (VU)</w:t>
      </w:r>
      <w:r>
        <w:t xml:space="preserve">,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Rynkskinn är typisk art för </w:t>
      </w:r>
      <w:r>
        <w:rPr>
          <w:i/>
        </w:rPr>
        <w:t xml:space="preserve">9010 Taiga, 9050 Näringsrik granskog </w:t>
      </w:r>
      <w:r>
        <w:t>och</w:t>
      </w:r>
      <w:r>
        <w:rPr>
          <w:i/>
        </w:rPr>
        <w:t xml:space="preserve"> 9030 Landhöjningsskog</w:t>
      </w:r>
      <w:r>
        <w:t xml:space="preserve">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