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31917-2026 i Sollefteå kommun</w:t>
      </w:r>
    </w:p>
    <w:p>
      <w:r>
        <w:t>Detta klagomål behandlar höga naturvärden i avverkningsanmälan A 31917-2026 i Sollefteå kommun som inkom 2026-07-28 och omfattar 11,4 ha.</w:t>
      </w:r>
    </w:p>
    <w:p>
      <w:pPr>
        <w:pStyle w:val="Caption"/>
      </w:pPr>
      <w:r>
        <w:drawing>
          <wp:inline xmlns:a="http://schemas.openxmlformats.org/drawingml/2006/main" xmlns:pic="http://schemas.openxmlformats.org/drawingml/2006/picture">
            <wp:extent cx="5486400" cy="4886074"/>
            <wp:docPr id="1" name="Picture 1"/>
            <wp:cNvGraphicFramePr>
              <a:graphicFrameLocks noChangeAspect="1"/>
            </wp:cNvGraphicFramePr>
            <a:graphic>
              <a:graphicData uri="http://schemas.openxmlformats.org/drawingml/2006/picture">
                <pic:pic>
                  <pic:nvPicPr>
                    <pic:cNvPr id="0" name="A 31917-2026 karta.png"/>
                    <pic:cNvPicPr/>
                  </pic:nvPicPr>
                  <pic:blipFill>
                    <a:blip r:embed="rId16"/>
                    <a:stretch>
                      <a:fillRect/>
                    </a:stretch>
                  </pic:blipFill>
                  <pic:spPr>
                    <a:xfrm>
                      <a:off x="0" y="0"/>
                      <a:ext cx="5486400" cy="488607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7042752, E 588859 i SWEREF 99 TM.</w:t>
      </w:r>
    </w:p>
    <w:p>
      <w:r>
        <w:t>I och inom 20 meter från avverkningsanmälan finns fynd av 60 naturvårdsarter, varav 37 är rödlistade, 7 är fridlysta, 40 är typiska (T) och 15 är signalarter (S): djupsvart brunbagge (EN), karelsk barkfluga (EN), Abrothallus diederichii (VU), aspfjädermossa (VU, T), blackticka (VU), garnlav (VU, T), gränsticka (VU, T), kilporing (VU), knärot (VU, T, §8), lappticka (VU, T), lunglavsknapp (VU), rostskinn (VU), Skeletocutis delicata (VU), blågrå svartspik (NT), brunpudrad nållav (NT, T), dvärgbägarlav (NT, T), gammelgransskål (NT, T), harticka (NT, T), kandelabersvamp (NT, T), kolflarnlav (NT, T), koralltaggsvamp (NT, T), kortskaftad ärgspik (NT), lunglav (NT, T), Olisthaerus substriatus (NT), rosenticka (NT, T), rynkskinn (NT, T), skogsfru (NT, §8), skogshare (NT), skrovellav (NT, T), större flatbagge (NT), talltita (NT, §4), tretåig hackspett (NT, T, §4), ullticka (NT, T), vedflamlav (NT), vedskivlav (NT, T), vedtrappmossa (NT, T), vit vedfingersvamp (NT), björksplintborre (S), bollvitmossa (S, T), bårdlav (S, T), korallblylav (S, T), lappranunkel (S, T, §7), luddlav (S, T), norrlandslav (S, T), nästlav (S, T), rävticka (S, T), skinnlav (S, T), stor aspticka (S, T), stuplav (S, T), thomsons trägnagare (S), trådticka (S, T), vedticka (S, T), brudborste (T), ekbräken (T), hultbräken (T), kransmossa (T), linnea (T), ormbär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Karelsk barkfluga (EN)</w:t>
      </w:r>
      <w:r>
        <w:t xml:space="preserve"> är en starkt hotad art vars larver utvecklas under blöt bark på grova asplågor. Karelsk barkfluga omfattas ett åtgärdsprogram för hotade arter är starkt beroende av lokal kontinuitet i tillgången på gamla liggande aspar. Slutavverkningar är det största hotet, vilket sannolikt drabbat flera äldre men oupptäckta förekomster. Uthuggning av gamla aspar och bortskaffande av kullfallna träd utgör också ett hot (SLU Artdatabanken, 2024; Wikars &amp; Hedenås, 2010).</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8.50 ha med buffertzonerna och får av detta skäl inte avverkas.</w:t>
      </w:r>
    </w:p>
    <w:p>
      <w:pPr>
        <w:pStyle w:val="Caption"/>
      </w:pPr>
      <w:r>
        <w:drawing>
          <wp:inline xmlns:a="http://schemas.openxmlformats.org/drawingml/2006/main" xmlns:pic="http://schemas.openxmlformats.org/drawingml/2006/picture">
            <wp:extent cx="5486400" cy="3619893"/>
            <wp:docPr id="2" name="Picture 2"/>
            <wp:cNvGraphicFramePr>
              <a:graphicFrameLocks noChangeAspect="1"/>
            </wp:cNvGraphicFramePr>
            <a:graphic>
              <a:graphicData uri="http://schemas.openxmlformats.org/drawingml/2006/picture">
                <pic:pic>
                  <pic:nvPicPr>
                    <pic:cNvPr id="0" name="A 31917-2026 karta knärot.png"/>
                    <pic:cNvPicPr/>
                  </pic:nvPicPr>
                  <pic:blipFill>
                    <a:blip r:embed="rId17"/>
                    <a:stretch>
                      <a:fillRect/>
                    </a:stretch>
                  </pic:blipFill>
                  <pic:spPr>
                    <a:xfrm>
                      <a:off x="0" y="0"/>
                      <a:ext cx="5486400" cy="3619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7042752, E 588859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60 naturvårdsarter varav 37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