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42063-2026 i Sollefteå kommun</w:t>
      </w:r>
    </w:p>
    <w:p>
      <w:r>
        <w:t>Denna tillsynsbegäran behandlar höga naturvärden i avverkningsanmälan A 42063-2026 i Sollefteå kommun som inkom 2026-10-09 och omfattar 4,6 ha.</w:t>
      </w:r>
    </w:p>
    <w:p>
      <w:pPr>
        <w:pStyle w:val="Caption"/>
      </w:pPr>
      <w:r>
        <w:drawing>
          <wp:inline xmlns:a="http://schemas.openxmlformats.org/drawingml/2006/main" xmlns:pic="http://schemas.openxmlformats.org/drawingml/2006/picture">
            <wp:extent cx="5486400" cy="4441008"/>
            <wp:docPr id="1" name="Picture 1"/>
            <wp:cNvGraphicFramePr>
              <a:graphicFrameLocks noChangeAspect="1"/>
            </wp:cNvGraphicFramePr>
            <a:graphic>
              <a:graphicData uri="http://schemas.openxmlformats.org/drawingml/2006/picture">
                <pic:pic>
                  <pic:nvPicPr>
                    <pic:cNvPr id="0" name="A 42063-2026 karta.png"/>
                    <pic:cNvPicPr/>
                  </pic:nvPicPr>
                  <pic:blipFill>
                    <a:blip r:embed="rId16"/>
                    <a:stretch>
                      <a:fillRect/>
                    </a:stretch>
                  </pic:blipFill>
                  <pic:spPr>
                    <a:xfrm>
                      <a:off x="0" y="0"/>
                      <a:ext cx="5486400" cy="4441008"/>
                    </a:xfrm>
                    <a:prstGeom prst="rect"/>
                  </pic:spPr>
                </pic:pic>
              </a:graphicData>
            </a:graphic>
          </wp:inline>
        </w:drawing>
      </w:r>
    </w:p>
    <w:p>
      <w:pPr>
        <w:pStyle w:val="Caption"/>
        <w:spacing w:after="240"/>
      </w:pPr>
      <w:r>
        <w:t>Figur 1. Fyndplatser för naturvårdsarter i och inom 25 meter från avverkningsanmälan. Markörer utan svart kant är placerade på fyndplatsen. Markörer med svart kant är placerade vid sidan av fyndplatsen och har ett svart streck som visar fyndplatsens exakta position. Kartans mittpunktskoordinat är N 7032185, E 587281 i SWEREF 99 TM.</w:t>
      </w:r>
    </w:p>
    <w:p>
      <w:r>
        <w:t>I och inom 25 meter från avverkningsanmälan finns fynd av 10 naturvårdsarter, varav 4 är rödlistade, 5 är fridlysta, 8 är typiska (T) och 3 är signalarter (S): garnlav (VU, T), knärot (VU, T, §8), lunglav (NT, T), tretåig hackspett (NT, T, §4), luddlav (S, T), skinnlav (S, T), vedticka (S, T), spillkråka (T, §4), fläcknycklar (§8) och revlummer (§9).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begär vidare att Skogsstyrelsen säkerställer att inga skador eller försämringar av naturtypens bevarandestatus i området tillåts ske. Se Rådets direktiv 92/43/EEG samt ickeförsämringskravet i EU:s naturrestaureringsförordning (EU 2024/1991).</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Knärot (VU, §8)</w:t>
      </w:r>
      <w:r>
        <w:t xml:space="preserve"> är typisk art för </w:t>
      </w:r>
      <w:r>
        <w:rPr>
          <w:i/>
        </w:rPr>
        <w:t xml:space="preserve">9010 Taiga </w:t>
      </w:r>
      <w:r>
        <w:t>och</w:t>
      </w:r>
      <w:r>
        <w:rPr>
          <w:i/>
        </w:rPr>
        <w:t xml:space="preserve"> 9050 Näringsrik granskog</w:t>
      </w:r>
      <w:r>
        <w:t xml:space="preserve">,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Ytterligare en studie visar på den starka korrelationen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avverkningsanmälda området finns 3 fyndplatser för knärot registrerade på Artportalen. Figur 2 visar gränserna för buffertzoner på 50 m, som behöver lämnas kring fyndplatserna för att knärotslokalerna inte ska försvinna vid en avverkning. Av det avverkningsanmälda området överlappar 0.91 ha med buffertzonerna och får av detta skäl inte avverkas.</w:t>
      </w:r>
    </w:p>
    <w:p>
      <w:pPr>
        <w:pStyle w:val="Caption"/>
      </w:pPr>
      <w:r>
        <w:drawing>
          <wp:inline xmlns:a="http://schemas.openxmlformats.org/drawingml/2006/main" xmlns:pic="http://schemas.openxmlformats.org/drawingml/2006/picture">
            <wp:extent cx="5486400" cy="5629557"/>
            <wp:docPr id="2" name="Picture 2"/>
            <wp:cNvGraphicFramePr>
              <a:graphicFrameLocks noChangeAspect="1"/>
            </wp:cNvGraphicFramePr>
            <a:graphic>
              <a:graphicData uri="http://schemas.openxmlformats.org/drawingml/2006/picture">
                <pic:pic>
                  <pic:nvPicPr>
                    <pic:cNvPr id="0" name="A 42063-2026 karta knärot.png"/>
                    <pic:cNvPicPr/>
                  </pic:nvPicPr>
                  <pic:blipFill>
                    <a:blip r:embed="rId17"/>
                    <a:stretch>
                      <a:fillRect/>
                    </a:stretch>
                  </pic:blipFill>
                  <pic:spPr>
                    <a:xfrm>
                      <a:off x="0" y="0"/>
                      <a:ext cx="5486400" cy="5629557"/>
                    </a:xfrm>
                    <a:prstGeom prst="rect"/>
                  </pic:spPr>
                </pic:pic>
              </a:graphicData>
            </a:graphic>
          </wp:inline>
        </w:drawing>
      </w:r>
    </w:p>
    <w:p>
      <w:pPr>
        <w:pStyle w:val="Caption"/>
        <w:spacing w:after="240"/>
      </w:pPr>
      <w:r>
        <w:t>Figur 2. Fyndplatser och buffertzoner för knärot i det avverkningsanmälda området. Endast fyndplatser vars buffertzoner överlappar med det avverkningsanmälda området har tagits med i visualiseringen. Kartans mittpunktskoordinat är N 7032185, E 587281 i SWEREF 99 TM.</w:t>
      </w:r>
    </w:p>
    <w:p>
      <w:r>
        <w:rPr>
          <w:b/>
        </w:rPr>
        <w:t>Lunglav (NT)</w:t>
      </w:r>
      <w:r>
        <w:t xml:space="preserve"> är en av vårt lands främsta signalarter som överallt indikerar gamla lövträd, skogsbestånd med höga naturvärden och ekosystem med långskoglig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På lunglav kan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påträffas. 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 Nitare &amp; Skogsstyrelsen, 2019).</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Områden med dokumenterad permanent förekomst i naturskogsmiljöer har vanligen så stora naturvärden att skogsbruk är olämpligt. Tretåig hackspett är typisk art för </w:t>
      </w:r>
      <w:r>
        <w:rPr>
          <w:i/>
        </w:rPr>
        <w:t xml:space="preserve">9010 Taiga, 9740 Skogsbevuxen myr, 9030 Landhöjningsskog </w:t>
      </w:r>
      <w:r>
        <w:t xml:space="preserve">och </w:t>
      </w:r>
      <w:r>
        <w:rPr>
          <w:i/>
        </w:rPr>
        <w:t>9040 Fjällbjörkskog</w:t>
      </w:r>
      <w:r>
        <w:t xml:space="preserve"> (Skogsstyrelsen, 2016; SLU Artdatabanken, 2024).</w:t>
      </w:r>
    </w:p>
    <w:p>
      <w:r>
        <w:rPr>
          <w:b/>
        </w:rPr>
        <w:t>Luddlav</w:t>
      </w:r>
      <w:r>
        <w:t xml:space="preserve"> signalerar lång skoglig kontinuitet med ett stabilt lokal- och mikroklimat med hög och jämn fuktighet. Luddlav är typisk art för </w:t>
      </w:r>
      <w:r>
        <w:rPr>
          <w:i/>
        </w:rPr>
        <w:t>9010 Taiga,</w:t>
      </w:r>
      <w:r>
        <w:t xml:space="preserve"> </w:t>
      </w:r>
      <w:r>
        <w:rPr>
          <w:i/>
        </w:rPr>
        <w:t xml:space="preserve">9020 Nordlig ädellövskog, 9070 Trädklädd betesmark, 9110 Näringsfattig bokskog, 9180 Ädellövskog i branter </w:t>
      </w:r>
      <w:r>
        <w:t>och</w:t>
      </w:r>
      <w:r>
        <w:rPr>
          <w:i/>
        </w:rPr>
        <w:t xml:space="preserve"> 9190 Näringsfattig ekskog </w:t>
      </w:r>
      <w:r>
        <w:t>(Nitare &amp; Skogsstyrelsen, 2019; SLU Artdatabanken, 2025).</w:t>
      </w:r>
    </w:p>
    <w:p>
      <w:r>
        <w:rPr>
          <w:b/>
        </w:rPr>
        <w:t xml:space="preserve">Skinnlav </w:t>
      </w:r>
      <w:r>
        <w:t xml:space="preserve">förekommer på diverse lövträd, främst på gammal asp och sälg. Den påträffas främst i områden med lång kontinuitet av grova lövträd och signalerar skogsmark med höga naturvärden. På lokalerna förekommer som regel ett flertal andra ovanliga eller rödlistade lavar. I likhet med gelélavarna, etablerar sig skinnlaven i skogsmark på grova aspar i sena lövsuccessioner. Skinnlav är typisk art för </w:t>
      </w:r>
      <w:r>
        <w:rPr>
          <w:i/>
        </w:rPr>
        <w:t xml:space="preserve">9010 Taiga, 9020 Nordlig ädellövskog </w:t>
      </w:r>
      <w:r>
        <w:t xml:space="preserve">och </w:t>
      </w:r>
      <w:r>
        <w:rPr>
          <w:i/>
        </w:rPr>
        <w:t xml:space="preserve">9070 Trädklädd betesmark </w:t>
      </w:r>
      <w:r>
        <w:t>(Nitare &amp; Skogsstyrelsen, 2019; SLU Artdatabanken, 2025).</w:t>
      </w:r>
    </w:p>
    <w:p>
      <w:r>
        <w:rPr>
          <w:b/>
        </w:rPr>
        <w:t xml:space="preserve">Vedticka </w:t>
      </w:r>
      <w:r>
        <w:t xml:space="preserve">är en bra signalart söder om den naturliga norrlandsgränsen. Den är huvudsakligen knuten till äldre barrskogar där det föreligger långvarig kontinuitet av död barrved. Vedticka är typisk art för </w:t>
      </w:r>
      <w:r>
        <w:rPr>
          <w:i/>
        </w:rPr>
        <w:t xml:space="preserve">9010 Taiga </w:t>
      </w:r>
      <w:r>
        <w:t>(Nitare &amp; Skogsstyrelsen, 2019; SLU Artdatabanken, 2025).</w:t>
      </w:r>
    </w:p>
    <w:p>
      <w:r>
        <w:rPr>
          <w:b/>
        </w:rPr>
        <w:t>Spillkråka (§4)</w:t>
      </w:r>
      <w:r>
        <w:t xml:space="preserve"> omfattas av bilaga 1 i EU:s fågeldirektiv och är typisk art för </w:t>
      </w:r>
      <w:r>
        <w:rPr>
          <w:i/>
        </w:rPr>
        <w:t xml:space="preserve">9010 Taiga </w:t>
      </w:r>
      <w:r>
        <w:t>och</w:t>
      </w:r>
      <w:r>
        <w:rPr>
          <w:i/>
        </w:rPr>
        <w:t xml:space="preserve"> 9740 Skogsbevuxen myr</w:t>
      </w:r>
      <w:r>
        <w:t>. Den behöver grova träd, främst tall, asp och bok som boträd. Skogsbruk med korta omloppstider och täta, homogena ungskogar utgör det största hotet. 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(SLU Artdatabanken, 2026; Skogsstyrelsen, 2016).</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pPr>
        <w:pStyle w:val="Heading1"/>
      </w:pPr>
      <w:r>
        <w:t>Typiska arter och EU:s art- och habitatdirektiv</w:t>
      </w:r>
    </w:p>
    <w:p>
      <w:r>
        <w:t>Typiska arter används för att lokalisera områden med gynnsam bevarandestatus för de naturtyper som är listade i EU:s art- och habitatdirektiv. Ett exempel är Västlig taiga (EU-kod 9010) som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w:t>
      </w:r>
    </w:p>
    <w:p>
      <w:r>
        <w:t>Följande typiska arter har sina livsmiljöer och växtplatser i den avverkningsanmälda skogen: garnlav (VU, T), knärot (VU, T, §8), lunglav (NT, T), tretåig hackspett (NT, T, §4), luddlav (S, T), skinnlav (S, T), vedticka (S, T) och spillkråka (T, §4).</w:t>
      </w:r>
    </w:p>
    <w:p>
      <w:r>
        <w:t>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r>
        <w:t>Trots detta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w:t>
      </w:r>
      <w:r>
        <w:rPr>
          <w:b/>
        </w:rPr>
        <w:t xml:space="preserve"> </w:t>
      </w:r>
      <w:r>
        <w:t>inte har gynnsam bevarandestatus.</w:t>
      </w:r>
    </w:p>
    <w:p>
      <w:r>
        <w:t>Åtgärder som vidtas i enlighet med art- och habitatdirektivet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w:t>
      </w:r>
    </w:p>
    <w:p>
      <w:r>
        <w:t>EU-direktiv är bindande för EU:s medlemsländer varvid det ankommer på Skogsstyrelsen som nationell tillsynsmyndighet att beakta syftet med EU:s art- och habitatdirektiv vid prövningen av en skogsbruksverksamhet, se Rådets direktiv 92/43/EEG. Se ytterligare information om EU:s livsmiljödirektiv i bilaga 2.</w:t>
      </w:r>
    </w:p>
    <w:p>
      <w:r>
        <w:br w:type="page"/>
      </w:r>
    </w:p>
    <w:p>
      <w:pPr>
        <w:pStyle w:val="Title"/>
      </w:pPr>
      <w:r>
        <w:t>BILAGA 1 –</w:t>
        <w:br/>
        <w:t>Fridlysta och rödlistade arter</w:t>
      </w:r>
    </w:p>
    <w:p>
      <w:pPr>
        <w:pStyle w:val="Heading1"/>
      </w:pPr>
      <w:r>
        <w:t>Knärot – ekologi samt krav på livsmiljön</w:t>
      </w:r>
    </w:p>
    <w:p>
      <w:r>
        <w:t xml:space="preserve">Knärot är typisk art för </w:t>
      </w:r>
      <w:r>
        <w:rPr>
          <w:i/>
        </w:rPr>
        <w:t xml:space="preserve">9010 Taiga </w:t>
      </w:r>
      <w:r>
        <w:t>och</w:t>
      </w:r>
      <w:r>
        <w:rPr>
          <w:i/>
        </w:rPr>
        <w:t xml:space="preserve"> 9050 Näringsrik granskog</w:t>
      </w:r>
      <w:r>
        <w:t>,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 Detta stöds även av en studie (Johansson et al, 2026) baserad på data från Riksskogstaxeringen som visar att knäroten minskat med 66 % under perioden 1993–2022 samt att det finns en stark korrelation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Ytterligare en studie (Koelmeijer m.fl., 2022) inkluderar knärotens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Johansson, V., Jansson, M. och Bergman, K-O</w:t>
      </w:r>
      <w:r>
        <w:rPr>
          <w:i/>
        </w:rPr>
        <w:t>.</w:t>
      </w:r>
      <w:r>
        <w:t>, 2026.</w:t>
      </w:r>
      <w:r>
        <w:rPr>
          <w:i/>
        </w:rPr>
        <w:t xml:space="preserve"> A 30-year population decline of a threatened forest orchid associated with old growth forests</w:t>
      </w:r>
      <w:r>
        <w:t>. Department of Physics, Chemistry and Biology (IFM), Linköping University.</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p>
      <w:pPr>
        <w:pStyle w:val="Heading1"/>
      </w:pPr>
      <w:r>
        <w:t>Lunglav – ekologi samt krav på livsmiljön</w:t>
      </w:r>
    </w:p>
    <w:p>
      <w:r>
        <w:t xml:space="preserve">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däribland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som växer på lunglav. Rikliga förekomster med lunglav bör skyddas med biotopskydd, frivilliga avsättningar eller reservat (SLU Artdatabanken, 2026; Nitare &amp; Skogsstyrelsen, 2019).</w:t>
      </w:r>
    </w:p>
    <w:p>
      <w:r>
        <w:t xml:space="preserve">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2026. </w:t>
      </w:r>
      <w:r>
        <w:rPr>
          <w:i/>
        </w:rPr>
        <w:t xml:space="preserve">Artfaktablad. Naturvård – artfakta. </w:t>
      </w:r>
      <w:r>
        <w:t>SLU Artdatabanken, Uppsala.</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r>
        <w:t xml:space="preserve"> (SLU Artdatabanken, 2024; Skogsstyrelsen, 2016)</w:t>
      </w:r>
      <w:r>
        <w:rPr>
          <w:i/>
        </w:rPr>
        <w: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 (SLU Artdatabanken, 2024; Skogsstyrelsen, 2016).</w:t>
      </w:r>
    </w:p>
    <w:p>
      <w:r>
        <w:t xml:space="preserve">Förutom fridlysning enligt §4 Artskyddsförordningen är tretåig hackspett även förtecknad i EU:s fågeldirektiv bilaga 1. Den är typisk art för </w:t>
      </w:r>
      <w:r>
        <w:rPr>
          <w:i/>
        </w:rPr>
        <w:t xml:space="preserve">9010 Taiga, 9740 Skogsbevuxen myr, 9030 Landhöjningsskog </w:t>
      </w:r>
      <w:r>
        <w:t xml:space="preserve">och </w:t>
      </w:r>
      <w:r>
        <w:rPr>
          <w:i/>
        </w:rPr>
        <w:t>9040 Fjällbjörkskog</w:t>
      </w:r>
      <w:r>
        <w:t xml:space="preserve"> samt ingår i Natura 2000 och är förtecknad i Bernkonventionen bilaga II (strikt skyddade djurarter) (SLU Artdatabanken, 2024; Skogsstyrelsen, 2016).</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Vägledning för hänsyn till fåglar – Tretåig hackspett.</w:t>
      </w:r>
    </w:p>
    <w:p>
      <w:r>
        <w:t xml:space="preserve">SLU Artdatabanken, 2024. </w:t>
      </w:r>
      <w:r>
        <w:rPr>
          <w:i/>
        </w:rPr>
        <w:t xml:space="preserve">Artfaktablad. Naturvård – artfakta. </w:t>
      </w:r>
      <w:r>
        <w:t>SLU Artdatabanken, Uppsala.</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p>
      <w:pPr>
        <w:pStyle w:val="Heading1"/>
      </w:pPr>
      <w:r>
        <w:t>Spillkråka – ekologi samt krav på livsmiljön</w:t>
      </w:r>
    </w:p>
    <w:p>
      <w:r>
        <w:t xml:space="preserve">Spillkråka (§4) ingår i bilaga 1 EU:s fågeldirektiv och är typisk art för </w:t>
      </w:r>
      <w:r>
        <w:rPr>
          <w:i/>
        </w:rPr>
        <w:t xml:space="preserve">9010 Taiga </w:t>
      </w:r>
      <w:r>
        <w:t>och</w:t>
      </w:r>
      <w:r>
        <w:rPr>
          <w:i/>
        </w:rPr>
        <w:t xml:space="preserve"> 9740 Skogsbevuxen myr</w:t>
      </w:r>
      <w:r>
        <w:t>. Den lever i både barr- och blandskog liksom i ren lövskog. De tätaste populationerna tenderar att finnas i äldre, variationsrik blandskog med gott om död ved och gamla träd. Varje par utnyttjar 400–1000 hektar skog beroende på skogens kvalitet. Skogsbruk med korta omloppstider och täta, homogena ungskogar utgör det största hotet (SLU Artdatabanken, 2026).</w:t>
      </w:r>
    </w:p>
    <w:p>
      <w:r>
        <w:t>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(Skogsstyrelsen, 2016).</w:t>
      </w:r>
    </w:p>
    <w:p>
      <w:pPr>
        <w:pStyle w:val="Heading2"/>
      </w:pPr>
      <w:r>
        <w:t>Referenser – spillkråka</w:t>
      </w:r>
    </w:p>
    <w:p>
      <w:r>
        <w:t xml:space="preserve">Skogsstyrelsen, 2016. </w:t>
      </w:r>
      <w:r>
        <w:rPr>
          <w:i/>
        </w:rPr>
        <w:t xml:space="preserve">Vägledning för hänsyn till spillkråka. </w:t>
      </w:r>
      <w:r>
        <w:t>Vägledningar och kunskapsstöd artskydd – Skogsstyrelsen.</w:t>
      </w:r>
    </w:p>
    <w:p>
      <w:r>
        <w:t xml:space="preserve">SLU Artdatabanken, 2026. </w:t>
      </w:r>
      <w:r>
        <w:rPr>
          <w:i/>
        </w:rPr>
        <w:t xml:space="preserve">Artfaktablad. Naturvård – artfakta. </w:t>
      </w:r>
      <w:r>
        <w:t>SLU Artdatabanken, Uppsala.</w:t>
      </w:r>
    </w:p>
    <w:p>
      <w:r>
        <w:br w:type="page"/>
      </w:r>
    </w:p>
    <w:p>
      <w:pPr>
        <w:pStyle w:val="Title"/>
      </w:pPr>
      <w:r>
        <w:t>BILAGA 2 – EU:s art- och habitatdirektiv, fågeldirektiv och naturrestaureringsförordning</w:t>
      </w:r>
    </w:p>
    <w:p>
      <w:pPr>
        <w:pStyle w:val="Heading2"/>
      </w:pPr>
      <w:r>
        <w:t>Förenlighet med EU-direktiv</w:t>
      </w:r>
    </w:p>
    <w:p>
      <w:r>
        <w:t>EU-direktiv är bindande för EU:s medlemsländer varvid det ankommer på Skogsstyrelsen som nationell tillsynsmyndighet att beakta syftet med EU:s art- och habitatdirektiv respektive fågeldirektiv vid prövningen av en skogsbruksverksamhet, se Rådets direktiv 92/43/EEG samt 2009/147/EG. Nationella regler som omfattas av ett EU-direktiv ska enligt fast rättspraxis tolkas i enlighet med direktivet, vilket medför en skyldighet för myndigheten att tolka bestämmelser i nationell rätt i ljuset av direktivets ordalydelse, sammanhang och de mål som eftersträvas med direktivet (se EU-domstolens dom i mål C 477/19).</w:t>
      </w:r>
    </w:p>
    <w:p>
      <w:r>
        <w:t>EU:s medlemsstater åläggs i Artikel 3 i fågeldirektivet generella skyldigheter avseende skydd, bevarande och återställande av tillräckligt stora och varierande livsmiljöer för de fågelarter som omfattas av direktivet. Medlemsstaterna ska vidta de åtgärder som är nödvändiga för att bibehålla populationen av fågelarterna på en nivå som svarar särskilt mot ekologiska, vetenskapliga och kulturella behov, eller återupprätta populationen av dessa arter till en sådan nivå (se Europaparlamentets och rådets direktiv 2009/147/EG).</w:t>
      </w:r>
    </w:p>
    <w:p>
      <w:r>
        <w:t>Åtgärder som vidtas i enlighet med art- och habitatdirektivet (92/43/EEG)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 Typiska arter används för att lokalisera områden med gynnsam bevarandestatus för de naturtyper som ingår i EU:s art- och habitatdirektiv.</w:t>
      </w:r>
    </w:p>
    <w:p>
      <w:r>
        <w:t>Västlig taiga (EU-kod 9010)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 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pPr>
        <w:pStyle w:val="Caption"/>
      </w:pPr>
      <w:r>
        <w:drawing>
          <wp:inline xmlns:a="http://schemas.openxmlformats.org/drawingml/2006/main" xmlns:pic="http://schemas.openxmlformats.org/drawingml/2006/picture">
            <wp:extent cx="5486400" cy="2905862"/>
            <wp:docPr id="3" name="Picture 3"/>
            <wp:cNvGraphicFramePr>
              <a:graphicFrameLocks noChangeAspect="1"/>
            </wp:cNvGraphicFramePr>
            <a:graphic>
              <a:graphicData uri="http://schemas.openxmlformats.org/drawingml/2006/picture">
                <pic:pic>
                  <pic:nvPicPr>
                    <pic:cNvPr id="0" name="uppföljning av västlig taiga.jpeg"/>
                    <pic:cNvPicPr/>
                  </pic:nvPicPr>
                  <pic:blipFill>
                    <a:blip r:embed="rId18"/>
                    <a:stretch>
                      <a:fillRect/>
                    </a:stretch>
                  </pic:blipFill>
                  <pic:spPr>
                    <a:xfrm>
                      <a:off x="0" y="0"/>
                      <a:ext cx="5486400" cy="2905862"/>
                    </a:xfrm>
                    <a:prstGeom prst="rect"/>
                  </pic:spPr>
                </pic:pic>
              </a:graphicData>
            </a:graphic>
          </wp:inline>
        </w:drawing>
      </w:r>
    </w:p>
    <w:p>
      <w:pPr>
        <w:pStyle w:val="Caption"/>
      </w:pPr>
      <w:r>
        <w:t>EU:s uppföljning av tillståndet för naturtypen Västlig taiga 9010 i Skandinavien 2013 - 2018. Av kartan framgår det att i den boreala regionen är tillståndet så dåligt (röd färg) att habitatet löper allvarlig risk att försvinna regionalt. Källa: European Environment Agency. https:// eunis.eea.europoa.eu/habitats/10176.</w:t>
      </w:r>
    </w:p>
    <w:p>
      <w:r>
        <w:t>Trots det allvarliga läget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 inte har gynnsam bevarandestatus.</w:t>
      </w:r>
    </w:p>
    <w:p>
      <w:pPr>
        <w:pStyle w:val="Heading2"/>
      </w:pPr>
      <w:r>
        <w:t>EU:s naturrestaureringsförordning</w:t>
      </w:r>
    </w:p>
    <w:p>
      <w:r>
        <w:t>Enligt EU:s naturrestaureringsförordning (EU 2024/1991) ska minst 20 % av landområden och minst 20 % av havsarealen vara restaurerad senast 2030, samt alla ekosystem som är i behov av restaurering senast 2050. Det framgår också av förordningen att det är viktigt att livsmiljötyperna inte försämras innan eller efter att restaureringar genomförts, se exempelvis punkt 37 förordningen.</w:t>
      </w:r>
    </w:p>
    <w:p>
      <w:r>
        <w:t>”</w:t>
      </w:r>
      <w:r>
        <w:rPr>
          <w:i/>
        </w:rPr>
        <w:t>Det är viktigt att medlemsstaterna vidtar åtgärder som syftar till att säkerställa att tillståndet för områden som täcks av livsmiljötyper som omfattas av denna förordning och som omfattas av restaureringsåtgärder uppvisar en kontinuerlig förbättring till dess att de uppnår ett gott tillstånd, och att medlemsstaterna vidtar åtgärder som syftar till att säkerställa att dessa livsmiljötyper, när de har uppnått ett gott tillstånd, inte försämras avsevärt, så att det långsiktiga bibehållandet eller uppnåendet av gott tillstånd inte äventyras. (..) Det är också viktigt att medlemsstaterna anstränger sig för att förhindra avsevärd försämring av områden som täcks av sådana livsmiljötyper som antingen redan är i gott skick eller som inte är i gott skick men ännu inte omfattas av restaureringsåtgärder.”</w:t>
      </w:r>
    </w:p>
    <w:p>
      <w:r>
        <w:rPr>
          <w:b/>
          <w:i/>
        </w:rPr>
        <w:t>Artikel 4(12):</w:t>
      </w:r>
    </w:p>
    <w:p>
      <w:r>
        <w:rPr>
          <w:i/>
        </w:rPr>
        <w:t>Utan att det påverkar tillämpningen av direktiv 92/43/EEG ska medlemsstaterna, senast den dag då deras nationella restaureringsplaner offentliggörs i enlighet med artikel 17.6 i denna förordning, eftersträva att genomföra de åtgärder som krävs för att förhindra avsevärd försämring av områden där de livsmiljötyper som förtecknas i bilaga I till denna förordning förekommer och som är i gott tillstånd eller som krävs för att uppnå de restaureringsmål som anges i punkt 17 i den här artikeln.</w:t>
      </w:r>
    </w:p>
    <w:p>
      <w:r>
        <w:rPr>
          <w:b/>
          <w:i/>
        </w:rPr>
        <w:t>Artikel 4 (17).   Medlemsstaterna ska säkerställa</w:t>
      </w:r>
    </w:p>
    <w:p>
      <w:r>
        <w:rPr>
          <w:i/>
        </w:rPr>
        <w:t>a) en ökning av arealen i gott tillstånd för de livsmiljötyper som förtecknas i bilaga I till dess att minst 90 % är i gott tillstånd och till dess att den gynnsamma referensarealen för varje livsmiljötyp i varje biogeografisk region inom den berörda medlemsstaten har uppnåtts.</w:t>
      </w:r>
    </w:p>
    <w:p>
      <w:r>
        <w:t>Referenser</w:t>
      </w:r>
    </w:p>
    <w:p>
      <w:r>
        <w:t xml:space="preserve">EEA European Environment Agency, 2022. </w:t>
      </w:r>
      <w:r>
        <w:rPr>
          <w:i/>
        </w:rPr>
        <w:t xml:space="preserve">Western taiga – Conservation status 2013-2018. </w:t>
      </w:r>
      <w:r>
        <w:t>https:// eunis.eea.europoa.eu/habitats/10176.</w:t>
      </w:r>
    </w:p>
    <w:p>
      <w:r>
        <w:t>EU-domstolens dom av den 2 juli 2020 i målet C 477/19 (Europeisk hamster) p. 23.</w:t>
      </w:r>
    </w:p>
    <w:p>
      <w:r>
        <w:t>EU-domstolens dom av den 4 mars 2021 i de förenade målen C 473-19 och C 474-19 (Skydda skogen) p. 70 och 76.</w:t>
      </w:r>
    </w:p>
    <w:p>
      <w:r>
        <w:t>Europaparlamentets och rådets direktiv 2009/147/EG av den 30 november 2009 om bevarande av vilda fåglar.</w:t>
      </w:r>
    </w:p>
    <w:p>
      <w:r>
        <w:t>EUROPAPARLAMENTETS OCH RÅDETS FÖRORDNING (EU) 2024/1991 av den 24 juni 2024 om restaurering av natur och om ändring av förordning (EU) 2022/869.</w:t>
      </w:r>
    </w:p>
    <w:p>
      <w:r>
        <w:t>Rådets direktiv 92/43/EEG av den 21 mj 1992 om bevarande av livsmiljöer samt vilda djur och växter.</w:t>
      </w:r>
    </w:p>
    <w:p>
      <w:r>
        <w:t xml:space="preserve">Skogsstyrelsen, 2026. </w:t>
      </w:r>
      <w:r>
        <w:rPr>
          <w:i/>
        </w:rPr>
        <w:t>Biologisk mångfald i skogen.</w:t>
      </w:r>
      <w:r>
        <w:t xml:space="preserve"> Rapport 2026/07.</w:t>
      </w:r>
    </w:p>
    <w:p>
      <w:r>
        <w:t xml:space="preserve">SLU Artdatabanken, 2019. </w:t>
      </w:r>
      <w:r>
        <w:rPr>
          <w:i/>
        </w:rPr>
        <w:t>Sveriges arter och naturtyper i EU:s art- och habitatdirektiv.</w:t>
      </w:r>
      <w:r>
        <w:t xml:space="preserve"> Resultat från rapportering 2019 till EU av bevarandestatus 2013-2018.</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2026-10-31</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 Id="rId18" Type="http://schemas.openxmlformats.org/officeDocument/2006/relationships/image" Target="media/image3.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