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58162-2021 i Örnsköldsviks kommun</w:t>
      </w:r>
    </w:p>
    <w:p>
      <w:r>
        <w:t>Detta dokument behandlar höga naturvärden i avverkningsanmälan A 58162-2021 i Örnsköldsviks kommun. Denna avverkningsanmälan inkom 2021-10-18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p>
      <w:r>
        <w:rPr>
          <w:b/>
        </w:rPr>
        <w:t>Knottblomster (VU, §8)</w:t>
      </w:r>
      <w:r>
        <w:t xml:space="preserve"> är knuten till kalkpåverkade biotoper och kan påträffas i glesa till halvslutna skogskärr med al, glasbjörk och ibland gran, gungflyn i rikkärr och kantpartier av tuviga starrkärr med bunkestarr och trindstarr. Den dominerande följearten är vattenklöver. Andra typiska följeväxter är kråkklöver, sjöfräken, späd skorpionmossa, stor skedmossa och spjutmossa. Ändrad markanvändning är det största hotet mot arten och det är viktigt att alla kända lokaler undantas från skadliga ingrepp som dräneringsåtgärder och skogsbruk i största allmänhet. Större lokaler eller grupper av lokaler bör genomgående skyddas genom naturreservat eller motsvarande. Eftersom arten är rörlig och naturligt växlar i antal är det nödvändigt att bibehålla alla tänkbara växtplatser för arten i dess kärnområden. Knottblomster är rödlistad som sårbar (VU) och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