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38438-2025 i Örnsköldsviks kommun</w:t>
      </w:r>
    </w:p>
    <w:p>
      <w:r>
        <w:t>Detta klagomål behandlar höga naturvärden i avverkningsanmälan A 38438-2025 i Örnsköldsviks kommun som inkom 2025-08-14 och omfattar 6,2 ha.</w:t>
      </w:r>
    </w:p>
    <w:p>
      <w:pPr>
        <w:pStyle w:val="Caption"/>
      </w:pPr>
      <w:r>
        <w:drawing>
          <wp:inline xmlns:a="http://schemas.openxmlformats.org/drawingml/2006/main" xmlns:pic="http://schemas.openxmlformats.org/drawingml/2006/picture">
            <wp:extent cx="3778627" cy="5724000"/>
            <wp:docPr id="1" name="Picture 1"/>
            <wp:cNvGraphicFramePr>
              <a:graphicFrameLocks noChangeAspect="1"/>
            </wp:cNvGraphicFramePr>
            <a:graphic>
              <a:graphicData uri="http://schemas.openxmlformats.org/drawingml/2006/picture">
                <pic:pic>
                  <pic:nvPicPr>
                    <pic:cNvPr id="0" name="A 38438-2025 karta.png"/>
                    <pic:cNvPicPr/>
                  </pic:nvPicPr>
                  <pic:blipFill>
                    <a:blip r:embed="rId16"/>
                    <a:stretch>
                      <a:fillRect/>
                    </a:stretch>
                  </pic:blipFill>
                  <pic:spPr>
                    <a:xfrm>
                      <a:off x="0" y="0"/>
                      <a:ext cx="3778627" cy="572400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7040978, E 709907 i SWEREF 99 TM.</w:t>
      </w:r>
    </w:p>
    <w:p>
      <w:r>
        <w:t>I och inom 13 meter från avverkningsanmälan finns fynd av 2 naturvårdsarter, varav 2 är fridlysta: fiskgjuse (§4) och havsörn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