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37659-2024 i Örnsköldsviks kommun</w:t>
      </w:r>
    </w:p>
    <w:p>
      <w:r>
        <w:t>Detta klagomål behandlar höga naturvärden i avverkningsanmälan A 37659-2024 i Örnsköldsviks kommun som inkom 2024-09-06 och omfattar 0,1 ha.</w:t>
      </w:r>
    </w:p>
    <w:p>
      <w:pPr>
        <w:pStyle w:val="Caption"/>
      </w:pPr>
      <w:r>
        <w:drawing>
          <wp:inline xmlns:a="http://schemas.openxmlformats.org/drawingml/2006/main" xmlns:pic="http://schemas.openxmlformats.org/drawingml/2006/picture">
            <wp:extent cx="5486400" cy="5207367"/>
            <wp:docPr id="1" name="Picture 1"/>
            <wp:cNvGraphicFramePr>
              <a:graphicFrameLocks noChangeAspect="1"/>
            </wp:cNvGraphicFramePr>
            <a:graphic>
              <a:graphicData uri="http://schemas.openxmlformats.org/drawingml/2006/picture">
                <pic:pic>
                  <pic:nvPicPr>
                    <pic:cNvPr id="0" name="A 37659-2024 karta.png"/>
                    <pic:cNvPicPr/>
                  </pic:nvPicPr>
                  <pic:blipFill>
                    <a:blip r:embed="rId16"/>
                    <a:stretch>
                      <a:fillRect/>
                    </a:stretch>
                  </pic:blipFill>
                  <pic:spPr>
                    <a:xfrm>
                      <a:off x="0" y="0"/>
                      <a:ext cx="5486400" cy="5207367"/>
                    </a:xfrm>
                    <a:prstGeom prst="rect"/>
                  </pic:spPr>
                </pic:pic>
              </a:graphicData>
            </a:graphic>
          </wp:inline>
        </w:drawing>
      </w:r>
    </w:p>
    <w:p>
      <w:pPr>
        <w:pStyle w:val="Caption"/>
        <w:spacing w:after="240"/>
      </w:pPr>
      <w:r>
        <w:t>Figur 1. Fyndplatser för naturvårdsarter inom 12 meter från avverkningsanmälan. Markörer utan svart kant är placerade på fyndplatsen. Markörer med svart kant är placerade vid sidan av fyndplatsen och har ett svart streck som visar fyndplatsens exakta position. Kartans mittpunktskoordinat är N 7050706, E 704708 i SWEREF 99 TM.</w:t>
      </w:r>
    </w:p>
    <w:p>
      <w:r>
        <w:t>Inom 12 meter från avverkningsanmälan finns fynd av 1 naturvårdsarter, varav 1 är typisk (T): svart taggsvamp agg.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Svart taggsvamp agg. </w:t>
      </w:r>
      <w:r>
        <w:t xml:space="preserve">har visat sig bestå av fyra olika arter: </w:t>
      </w:r>
      <w:r>
        <w:rPr>
          <w:i/>
        </w:rPr>
        <w:t>Phellodon melilotinus</w:t>
      </w:r>
      <w:r>
        <w:t xml:space="preserve"> (VU), </w:t>
      </w:r>
      <w:r>
        <w:rPr>
          <w:i/>
        </w:rPr>
        <w:t>Phellodon aquiloniniger</w:t>
      </w:r>
      <w:r>
        <w:t xml:space="preserve"> (NT), </w:t>
      </w:r>
      <w:r>
        <w:rPr>
          <w:i/>
        </w:rPr>
        <w:t>Phellodon frondosoniger</w:t>
      </w:r>
      <w:r>
        <w:t xml:space="preserve"> (NT) och svart taggsvamp </w:t>
      </w:r>
      <w:r>
        <w:rPr>
          <w:i/>
        </w:rPr>
        <w:t>Phellodon niger</w:t>
      </w:r>
      <w:r>
        <w:t xml:space="preserve"> (NT). De olika arterna är mykorrhizasvampar med olika utbredning och ekologi som kan påträffas både i barr- och lövskogar. Samtliga arterna är rödlistade och signalerar skogsområden med höga naturvärden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2026-08-17</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