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1285-2023 i Örnsköldsviks kommun</w:t>
      </w:r>
    </w:p>
    <w:p>
      <w:r>
        <w:t>Detta klagomål behandlar höga naturvärden i avverkningsanmälan A 1285-2023 i Örnsköldsviks kommun som inkom 2023-01-10 och omfattar 2,6 ha.</w:t>
      </w:r>
    </w:p>
    <w:p>
      <w:pPr>
        <w:pStyle w:val="Caption"/>
      </w:pPr>
      <w:r>
        <w:drawing>
          <wp:inline xmlns:a="http://schemas.openxmlformats.org/drawingml/2006/main" xmlns:pic="http://schemas.openxmlformats.org/drawingml/2006/picture">
            <wp:extent cx="5486400" cy="2268089"/>
            <wp:docPr id="1" name="Picture 1"/>
            <wp:cNvGraphicFramePr>
              <a:graphicFrameLocks noChangeAspect="1"/>
            </wp:cNvGraphicFramePr>
            <a:graphic>
              <a:graphicData uri="http://schemas.openxmlformats.org/drawingml/2006/picture">
                <pic:pic>
                  <pic:nvPicPr>
                    <pic:cNvPr id="0" name="A 1285-2023 karta.png"/>
                    <pic:cNvPicPr/>
                  </pic:nvPicPr>
                  <pic:blipFill>
                    <a:blip r:embed="rId16"/>
                    <a:stretch>
                      <a:fillRect/>
                    </a:stretch>
                  </pic:blipFill>
                  <pic:spPr>
                    <a:xfrm>
                      <a:off x="0" y="0"/>
                      <a:ext cx="5486400" cy="22680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7033768, E 637626 i SWEREF 99 TM.</w:t>
      </w:r>
    </w:p>
    <w:p>
      <w:r>
        <w:t>I och inom 25 meter från avverkningsanmälan finns fynd av 16 naturvårdsarter, varav 11 är rödlistade, 4 är fridlysta, 14 är typiska (T) och 3 är signalarter (S): garnlav (VU, T), lappticka (VU, T), gammelgransskål (NT, T), lunglav (NT, T), rosenticka (NT, T), rynkskinn (NT, T), stjärntagging (NT, T), talltita (NT, §4), tretåig hackspett (NT, T, §4), ullticka (NT, T), vedskivlav (NT, T), luddlav (S, T), stuplav (S, T), vedticka (S,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