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2896-2025 i Örnsköldsviks kommun</w:t>
      </w:r>
    </w:p>
    <w:p>
      <w:r>
        <w:t>Detta klagomål behandlar höga naturvärden i samrådsanmälan S 2896-2025 i Örnsköldsviks kommun som inkom 2025-10-16 och omfattar 3890,3 ha.</w:t>
      </w:r>
    </w:p>
    <w:p>
      <w:pPr>
        <w:pStyle w:val="Caption"/>
      </w:pPr>
      <w:r>
        <w:drawing>
          <wp:inline xmlns:a="http://schemas.openxmlformats.org/drawingml/2006/main" xmlns:pic="http://schemas.openxmlformats.org/drawingml/2006/picture">
            <wp:extent cx="5486400" cy="5118755"/>
            <wp:docPr id="1" name="Picture 1"/>
            <wp:cNvGraphicFramePr>
              <a:graphicFrameLocks noChangeAspect="1"/>
            </wp:cNvGraphicFramePr>
            <a:graphic>
              <a:graphicData uri="http://schemas.openxmlformats.org/drawingml/2006/picture">
                <pic:pic>
                  <pic:nvPicPr>
                    <pic:cNvPr id="0" name="S 2896-2025 karta.png"/>
                    <pic:cNvPicPr/>
                  </pic:nvPicPr>
                  <pic:blipFill>
                    <a:blip r:embed="rId16"/>
                    <a:stretch>
                      <a:fillRect/>
                    </a:stretch>
                  </pic:blipFill>
                  <pic:spPr>
                    <a:xfrm>
                      <a:off x="0" y="0"/>
                      <a:ext cx="5486400" cy="5118755"/>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7058688, E 658230 i SWEREF 99 TM.</w:t>
      </w:r>
    </w:p>
    <w:p>
      <w:r>
        <w:t>I och inom 25 meter från samrådsanmälan finns fynd av 23 naturvårdsarter, varav 11 är rödlistade, 10 är fridlysta, 17 är typiska (T) och 6 är signalarter (S): garnlav (VU, T), bivråk (NT, §4), dropptaggsvamp (NT, T), gammelgransskål (NT, T), lavskrika (NT, T, §4), lunglav (NT, T), nordfladdermus (NT, §4a), rosenticka (NT, T), rynkskinn (NT, T), tretåig hackspett (NT, T, §4), ullticka (NT, T), korallblylav (S, T), luddlav (S, T), spindelblomster (S, T, §8), stor aspticka (S, T), stuplav (S, T), trådticka (S, T), kärrfibbla (T), tjäder (T, §4), grönsiska (§4), orre (§4),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Bivråk (NT, §4)</w:t>
      </w:r>
      <w:r>
        <w:t xml:space="preserve"> ingår i bilaga 1 i EU:s fågeldirektiv och är prioriterad art i Skogsvårdslagen. Den har minskat med 2/3-delar sedan 1970-talet och under de senaste 30 åren har minskningstakten uppgått till 22.5 (15–30) %. Arten häckar i tät, ogallrad skog på högproduktiv mark, i södra Sverige främst i lövskogsrika trakter, i Norrland till stor del i högproduktiv granskog, Födan består av getinglarver och -puppor, men även av fågelungar och groddjur. Bivråken påverkas negativt av avverkning och omföring av lövträdsrika marker till täta produktionsskogar av barrträd samt av den allmänna "</w:t>
      </w:r>
      <w:r>
        <w:rPr>
          <w:i/>
        </w:rPr>
        <w:t>förtorkningen</w:t>
      </w:r>
      <w:r>
        <w:t>" av landskapet genom täckdikning, dikning av skogsmark etc. 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Minskningstakten för den svenska populationen bedöms vara nära gränsvärdet för Sårbar (VU) (SLU Artdatabanken, 2026; Skogsstyrelsen, 2016).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Kärrfibbla</w:t>
      </w:r>
      <w:r>
        <w:t xml:space="preserve"> är typisk art för </w:t>
      </w:r>
      <w:r>
        <w:rPr>
          <w:i/>
        </w:rPr>
        <w:t xml:space="preserve">9050 Näringsrik granskog, 9080 Lövsumpskog </w:t>
      </w:r>
      <w:r>
        <w:t>och</w:t>
      </w:r>
      <w:r>
        <w:rPr>
          <w:i/>
        </w:rPr>
        <w:t xml:space="preserve"> 9040 Fjällbjörkskog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23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Bivråk – ekologi samt krav på livsmiljön</w:t>
      </w:r>
    </w:p>
    <w:p>
      <w:r>
        <w:t>Bivråk (NT, §4) ingår i bilaga 1 i EU:s fågeldirektiv och är prioriterad art i Skogsvårdslagen. Den har minskat med 2/3-delar sedan 1970-talet och under de senaste 30 åren har minskningstakten uppgått till 22.5 (15–30) %. Minskningstakten för den svenska populationen bedöms vara nära gränsvärdet för Sårbar (VU) (SLU Artdatabanken, 2026).</w:t>
      </w:r>
    </w:p>
    <w:p>
      <w:r>
        <w:t>Arten häckar i tät, ogallrad skog på högproduktiv mark, i södra Sverige främst i lövskogsrika trakter, i Norrland till stor del i högproduktiv granskog, Födan består av getinglarver och -puppor, men även av fågelungar och groddjur. (SLU Artdatabanken, 2026).</w:t>
      </w:r>
    </w:p>
    <w:p>
      <w:r>
        <w:t>En trolig delförklaring till minskande bivråksstammar är att det i dagens skogs- och jordbruksbygder finns ett sämre utbud av insektsrika biotoper jämfört med förhållandena för 20–40 år sedan. Minskad insektsrikedom innebär förmodligen en lägre täthet av sociala getingsamhällen och därmed sämre förutsättningar för bivråkens häckning. En allmän "</w:t>
      </w:r>
      <w:r>
        <w:rPr>
          <w:i/>
        </w:rPr>
        <w:t>förtorkning</w:t>
      </w:r>
      <w:r>
        <w:t>" av landskapet (täckdikning, dikning av skogsmark etc.) liksom omföring av lövträdsrika marker till täta produktionsskogar av barrträd medför dessutom en försämrad förekomst av tättingar (trastar etc.) och grodor, vilket sannolikt påverkar bivråken negativt. (SLU Artdatabanken, 2026).</w:t>
      </w:r>
    </w:p>
    <w:p>
      <w:r>
        <w:t>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(SLU Artdatabanken, 2026; Skogsstyrelsen, 2016).</w:t>
      </w:r>
    </w:p>
    <w:p>
      <w:pPr>
        <w:pStyle w:val="Heading2"/>
      </w:pPr>
      <w:r>
        <w:t>Referenser – bivråk</w:t>
      </w:r>
    </w:p>
    <w:p>
      <w:r>
        <w:t xml:space="preserve">Skogsstyrelsen, 2016. </w:t>
      </w:r>
      <w:r>
        <w:rPr>
          <w:i/>
        </w:rPr>
        <w:t>Vägledning för hänsyn till bivråk.</w:t>
      </w:r>
    </w:p>
    <w:p>
      <w:r>
        <w:t xml:space="preserve">SLU Artdatabanken, 2026.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