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1164-2026 i Örnsköldsviks kommun</w:t>
      </w:r>
    </w:p>
    <w:p>
      <w:r>
        <w:t>Detta klagomål behandlar höga naturvärden i samrådsanmälan S 1164-2026 i Örnsköldsviks kommun som inkom 2026-04-23 och omfattar 6,3 ha.</w:t>
      </w:r>
    </w:p>
    <w:p>
      <w:pPr>
        <w:pStyle w:val="Caption"/>
      </w:pPr>
      <w:r>
        <w:drawing>
          <wp:inline xmlns:a="http://schemas.openxmlformats.org/drawingml/2006/main" xmlns:pic="http://schemas.openxmlformats.org/drawingml/2006/picture">
            <wp:extent cx="5486400" cy="5283066"/>
            <wp:docPr id="1" name="Picture 1"/>
            <wp:cNvGraphicFramePr>
              <a:graphicFrameLocks noChangeAspect="1"/>
            </wp:cNvGraphicFramePr>
            <a:graphic>
              <a:graphicData uri="http://schemas.openxmlformats.org/drawingml/2006/picture">
                <pic:pic>
                  <pic:nvPicPr>
                    <pic:cNvPr id="0" name="S 1164-2026 karta.png"/>
                    <pic:cNvPicPr/>
                  </pic:nvPicPr>
                  <pic:blipFill>
                    <a:blip r:embed="rId16"/>
                    <a:stretch>
                      <a:fillRect/>
                    </a:stretch>
                  </pic:blipFill>
                  <pic:spPr>
                    <a:xfrm>
                      <a:off x="0" y="0"/>
                      <a:ext cx="5486400" cy="528306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7049723, E 622776 i SWEREF 99 TM.</w:t>
      </w:r>
    </w:p>
    <w:p>
      <w:r>
        <w:t>I och inom 24 meter från samrådsanmälan finns fynd av 7 naturvårdsarter, varav 6 är rödlistade, 2 är fridlysta, 6 är typiska (T) och 1 är signalart (S): gammelgransskål (NT, T), lavskrika (NT, T, §4), lunglav (NT, T), rynkskinn (NT, T), talltita (NT, §4),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