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27533-2024 i Örnsköldsviks kommun</w:t>
      </w:r>
    </w:p>
    <w:p>
      <w:r>
        <w:t>Denna tillsynsbegäran behandlar höga naturvärden i avverkningsanmälan A 27533-2024 i Örnsköldsviks kommun som inkom 2024-07-01 och omfattar 8,7 ha.</w:t>
      </w:r>
    </w:p>
    <w:p>
      <w:pPr>
        <w:pStyle w:val="Caption"/>
      </w:pPr>
      <w:r>
        <w:drawing>
          <wp:inline xmlns:a="http://schemas.openxmlformats.org/drawingml/2006/main" xmlns:pic="http://schemas.openxmlformats.org/drawingml/2006/picture">
            <wp:extent cx="5486400" cy="3618007"/>
            <wp:docPr id="1" name="Picture 1"/>
            <wp:cNvGraphicFramePr>
              <a:graphicFrameLocks noChangeAspect="1"/>
            </wp:cNvGraphicFramePr>
            <a:graphic>
              <a:graphicData uri="http://schemas.openxmlformats.org/drawingml/2006/picture">
                <pic:pic>
                  <pic:nvPicPr>
                    <pic:cNvPr id="0" name="A 27533-2024 karta.png"/>
                    <pic:cNvPicPr/>
                  </pic:nvPicPr>
                  <pic:blipFill>
                    <a:blip r:embed="rId16"/>
                    <a:stretch>
                      <a:fillRect/>
                    </a:stretch>
                  </pic:blipFill>
                  <pic:spPr>
                    <a:xfrm>
                      <a:off x="0" y="0"/>
                      <a:ext cx="5486400" cy="3618007"/>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7036029, E 638648 i SWEREF 99 TM.</w:t>
      </w:r>
    </w:p>
    <w:p>
      <w:r>
        <w:t>I och inom 5 meter från avverkningsanmälan finns fynd av 7 naturvårdsarter, varav 4 är rödlistade, 3 är fridlysta, 6 är typiska (T) och 2 är signalarter (S): knärot (VU, T, §8), lunglav (NT, T), rynkskinn (NT, T), ullticka (NT, T), spindelblomster (S, T, §8), spädstarr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1.88 ha med buffertzonerna och får av detta skäl inte avverkas.</w:t>
      </w:r>
    </w:p>
    <w:p>
      <w:pPr>
        <w:pStyle w:val="Caption"/>
      </w:pPr>
      <w:r>
        <w:drawing>
          <wp:inline xmlns:a="http://schemas.openxmlformats.org/drawingml/2006/main" xmlns:pic="http://schemas.openxmlformats.org/drawingml/2006/picture">
            <wp:extent cx="5486400" cy="3499230"/>
            <wp:docPr id="2" name="Picture 2"/>
            <wp:cNvGraphicFramePr>
              <a:graphicFrameLocks noChangeAspect="1"/>
            </wp:cNvGraphicFramePr>
            <a:graphic>
              <a:graphicData uri="http://schemas.openxmlformats.org/drawingml/2006/picture">
                <pic:pic>
                  <pic:nvPicPr>
                    <pic:cNvPr id="0" name="A 27533-2024 karta knärot.png"/>
                    <pic:cNvPicPr/>
                  </pic:nvPicPr>
                  <pic:blipFill>
                    <a:blip r:embed="rId17"/>
                    <a:stretch>
                      <a:fillRect/>
                    </a:stretch>
                  </pic:blipFill>
                  <pic:spPr>
                    <a:xfrm>
                      <a:off x="0" y="0"/>
                      <a:ext cx="5486400" cy="34992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7036029, E 638648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Spädstarr </w:t>
      </w:r>
      <w:r>
        <w:t xml:space="preserve">är typisk art för </w:t>
      </w:r>
      <w:r>
        <w:rPr>
          <w:i/>
        </w:rPr>
        <w:t xml:space="preserve">9080 Lövsumpskog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lunglav (NT, T), rynkskinn (NT, T), ullticka (NT, T), spindelblomster (S, T, §8) och spädstarr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