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30045-2026 i Örnsköldsviks kommun</w:t>
      </w:r>
    </w:p>
    <w:p>
      <w:r>
        <w:t>Detta klagomål behandlar höga naturvärden i avverkningsanmälan A 30045-2026 i Örnsköldsviks kommun som inkom 2026-07-03 och omfattar 1,6 ha.</w:t>
      </w:r>
    </w:p>
    <w:p>
      <w:pPr>
        <w:pStyle w:val="Caption"/>
      </w:pPr>
      <w:r>
        <w:drawing>
          <wp:inline xmlns:a="http://schemas.openxmlformats.org/drawingml/2006/main" xmlns:pic="http://schemas.openxmlformats.org/drawingml/2006/picture">
            <wp:extent cx="5486400" cy="5629687"/>
            <wp:docPr id="1" name="Picture 1"/>
            <wp:cNvGraphicFramePr>
              <a:graphicFrameLocks noChangeAspect="1"/>
            </wp:cNvGraphicFramePr>
            <a:graphic>
              <a:graphicData uri="http://schemas.openxmlformats.org/drawingml/2006/picture">
                <pic:pic>
                  <pic:nvPicPr>
                    <pic:cNvPr id="0" name="A 30045-2026 karta.png"/>
                    <pic:cNvPicPr/>
                  </pic:nvPicPr>
                  <pic:blipFill>
                    <a:blip r:embed="rId16"/>
                    <a:stretch>
                      <a:fillRect/>
                    </a:stretch>
                  </pic:blipFill>
                  <pic:spPr>
                    <a:xfrm>
                      <a:off x="0" y="0"/>
                      <a:ext cx="5486400" cy="562968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7082717, E 651132 i SWEREF 99 TM.</w:t>
      </w:r>
    </w:p>
    <w:p>
      <w:r>
        <w:t>I och inom 22 meter från avverkningsanmälan finns fynd av 10 naturvårdsarter, varav 6 är rödlistade, 2 är fridlysta, 6 är typiska (T) och 2 är signalarter (S): garnlav (VU, T), blågrå svartspik (NT), gammelgransskål (NT, T), lunglav (NT, T), ullticka (NT, T), vitgrynig nållav (NT), granriska (S), vedticka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