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41080-2026 i Örnsköldsviks kommun</w:t>
      </w:r>
    </w:p>
    <w:p>
      <w:r>
        <w:t>Detta klagomål behandlar höga naturvärden i avverkningsanmälan A 41080-2026 i Örnsköldsviks kommun som inkom 2026-10-05 och omfattar 6,5 ha.</w:t>
      </w:r>
    </w:p>
    <w:p>
      <w:pPr>
        <w:pStyle w:val="Caption"/>
      </w:pPr>
      <w:r>
        <w:drawing>
          <wp:inline xmlns:a="http://schemas.openxmlformats.org/drawingml/2006/main" xmlns:pic="http://schemas.openxmlformats.org/drawingml/2006/picture">
            <wp:extent cx="5203636" cy="5724000"/>
            <wp:docPr id="1" name="Picture 1"/>
            <wp:cNvGraphicFramePr>
              <a:graphicFrameLocks noChangeAspect="1"/>
            </wp:cNvGraphicFramePr>
            <a:graphic>
              <a:graphicData uri="http://schemas.openxmlformats.org/drawingml/2006/picture">
                <pic:pic>
                  <pic:nvPicPr>
                    <pic:cNvPr id="0" name="A 41080-2026 karta.png"/>
                    <pic:cNvPicPr/>
                  </pic:nvPicPr>
                  <pic:blipFill>
                    <a:blip r:embed="rId16"/>
                    <a:stretch>
                      <a:fillRect/>
                    </a:stretch>
                  </pic:blipFill>
                  <pic:spPr>
                    <a:xfrm>
                      <a:off x="0" y="0"/>
                      <a:ext cx="5203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7022032, E 667171 i SWEREF 99 TM.</w:t>
      </w:r>
    </w:p>
    <w:p>
      <w:r>
        <w:t>I avverkningsanmälan finns fynd av 13 naturvårdsarter, varav 7 är rödlistade, 5 är fridlysta, 12 är typiska (T) och 4 är signalarter (S): garnlav (VU, T), knärot (VU, T, §8), lunglav (NT, T), rosenticka (NT, T), talltita (NT, §4), tretåig hackspett (NT, T, §4), ullticka (NT, T), bårdlav (S, T), korallblylav (S, T), stor aspticka (S, T), vedticka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41080-2026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7022032, E 667171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