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44868-2025 i Örnsköldsviks kommun</w:t>
      </w:r>
    </w:p>
    <w:p>
      <w:r>
        <w:t>Detta dokument behandlar höga naturvärden i avverkningsanmälan A 44868-2025 i Örnsköldsviks kommun. Denna avverkningsanmälan inkom 2025-09-18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tallbit (VU, §4), garnlav (NT), kolflarnlav (NT), spillkråka (NT, §4), talltita (NT, §4), tretåig hackspett (NT, §4), vedskivlav (NT), norrlandslav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44868-2025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7055207, E 621127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tallbit (VU,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3.09 ha med buffertzonerna och får av detta skäl inte avverkas.</w:t>
      </w:r>
    </w:p>
    <w:p>
      <w:pPr>
        <w:pStyle w:val="Caption"/>
      </w:pPr>
      <w:r>
        <w:drawing>
          <wp:inline xmlns:a="http://schemas.openxmlformats.org/drawingml/2006/main" xmlns:pic="http://schemas.openxmlformats.org/drawingml/2006/picture">
            <wp:extent cx="5486400" cy="7124530"/>
            <wp:docPr id="2" name="Picture 2"/>
            <wp:cNvGraphicFramePr>
              <a:graphicFrameLocks noChangeAspect="1"/>
            </wp:cNvGraphicFramePr>
            <a:graphic>
              <a:graphicData uri="http://schemas.openxmlformats.org/drawingml/2006/picture">
                <pic:pic>
                  <pic:nvPicPr>
                    <pic:cNvPr id="0" name="A 44868-2025 karta knärot.png"/>
                    <pic:cNvPicPr/>
                  </pic:nvPicPr>
                  <pic:blipFill>
                    <a:blip r:embed="rId17"/>
                    <a:stretch>
                      <a:fillRect/>
                    </a:stretch>
                  </pic:blipFill>
                  <pic:spPr>
                    <a:xfrm>
                      <a:off x="0" y="0"/>
                      <a:ext cx="5486400" cy="71245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7055207, E 621127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Tallbit (VU, §4)</w:t>
      </w:r>
      <w:r>
        <w:t xml:space="preserve"> är rödlistad som sårbar och prioriterad art i Skogsvårdslagen. Den har minskat med 25–75 % de senaste 30 åren och minskningstakten överstiger gränsvärdet för Sårbar (VU) enligt A-kriteriet. (A4bc).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