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2523-2026 i Örnsköldsviks kommun</w:t>
      </w:r>
    </w:p>
    <w:p>
      <w:r>
        <w:t>Detta klagomål behandlar höga naturvärden i samrådsanmälan S 2523-2026 i Örnsköldsviks kommun som inkom 2026-09-25 och omfattar 6,1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S 2523-2026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7051094, E 616321 i SWEREF 99 TM.</w:t>
      </w:r>
    </w:p>
    <w:p>
      <w:r>
        <w:t>Inom 20 meter från samrådsanmälan finns fynd av 5 naturvårdsarter, varav 3 är rödlistade, 4 är typiska (T) och 2 är signalarter (S): dropptaggsvamp (NT, T), gammelgransskål (NT, T), skarp dropptaggsvamp (NT), spädstarr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Spädstarr </w:t>
      </w:r>
      <w:r>
        <w:t xml:space="preserve">är typisk art för </w:t>
      </w:r>
      <w:r>
        <w:rPr>
          <w:i/>
        </w:rPr>
        <w:t xml:space="preserve">9080 Lövsumpskog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