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54155-2023 i Örnsköldsviks kommun</w:t>
      </w:r>
    </w:p>
    <w:p>
      <w:r>
        <w:t>Denna tillsynsbegäran behandlar höga naturvärden i avverkningsanmälan A 54155-2023 i Örnsköldsviks kommun som inkom 2023-11-02 och omfattar 2,5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54155-2023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7052882, E 652715 i SWEREF 99 TM.</w:t>
      </w:r>
    </w:p>
    <w:p>
      <w:r>
        <w:t>I och inom 24 meter från avverkningsanmälan finns fynd av 5 naturvårdsarter, varav 3 är rödlistade, 3 är typiska (T) och 2 är signalarter (S): liten hornflikmossa (VU), timmerskapania (VU), vedtrappmossa (NT, T), skogshakmossa (S,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Timmerskapania (VU)</w:t>
      </w:r>
      <w:r>
        <w:t xml:space="preserve"> växer på hård ved som tidvis blöts ned och hittas ofta på omkullfallna trädstammar intill vattendrag och skogstjärnar, i skuggigt läge.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Timmerskapania omfattas av ett åtgärdsprogram för hotade arter (ÅGP) och är rödlistad som nära hotad (NT) i den europeiska rödlistan vilket innebär att Sverige har ett internationellt ansvar för arten (SLU Artdatabanken, 2026; IUCN, 2017; Naturvårdsverket 2015).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