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samrådsanmälan S 6952-2022 i Örnsköldsviks kommun</w:t>
      </w:r>
    </w:p>
    <w:p>
      <w:r>
        <w:t>Denna tillsynsbegäran behandlar höga naturvärden i samrådsanmälan S 6952-2022 i Örnsköldsviks kommun som inkom 2022-12-05 och omfattar 695,5 ha.</w:t>
      </w:r>
    </w:p>
    <w:p>
      <w:pPr>
        <w:pStyle w:val="Caption"/>
      </w:pPr>
      <w:r>
        <w:drawing>
          <wp:inline xmlns:a="http://schemas.openxmlformats.org/drawingml/2006/main" xmlns:pic="http://schemas.openxmlformats.org/drawingml/2006/picture">
            <wp:extent cx="5486400" cy="4645529"/>
            <wp:docPr id="1" name="Picture 1"/>
            <wp:cNvGraphicFramePr>
              <a:graphicFrameLocks noChangeAspect="1"/>
            </wp:cNvGraphicFramePr>
            <a:graphic>
              <a:graphicData uri="http://schemas.openxmlformats.org/drawingml/2006/picture">
                <pic:pic>
                  <pic:nvPicPr>
                    <pic:cNvPr id="0" name="S 6952-2022 karta.png"/>
                    <pic:cNvPicPr/>
                  </pic:nvPicPr>
                  <pic:blipFill>
                    <a:blip r:embed="rId16"/>
                    <a:stretch>
                      <a:fillRect/>
                    </a:stretch>
                  </pic:blipFill>
                  <pic:spPr>
                    <a:xfrm>
                      <a:off x="0" y="0"/>
                      <a:ext cx="5486400" cy="4645529"/>
                    </a:xfrm>
                    <a:prstGeom prst="rect"/>
                  </pic:spPr>
                </pic:pic>
              </a:graphicData>
            </a:graphic>
          </wp:inline>
        </w:drawing>
      </w:r>
    </w:p>
    <w:p>
      <w:pPr>
        <w:pStyle w:val="Caption"/>
        <w:spacing w:after="240"/>
      </w:pPr>
      <w:r>
        <w:t>Figur 1. Fyndplatser för naturvårdsarter i och inom 22 meter från samrådsanmälan. Markörer utan svart kant är placerade på fyndplatsen. Markörer med svart kant är placerade vid sidan av fyndplatsen och har ett svart streck som visar fyndplatsens exakta position. Kartans mittpunktskoordinat är N 7067430, E 673255 i SWEREF 99 TM.</w:t>
      </w:r>
    </w:p>
    <w:p>
      <w:r>
        <w:t>I och inom 22 meter från samrådsanmälan finns fynd av 5 naturvårdsarter, varav 2 är rödlistade, 5 är typiska (T) och 3 är signalarter (S): garnlav (VU, T), lunglav (NT, T), stor aspticka (S, T), stuplav (S, T) och vedticka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Stor aspticka</w:t>
      </w:r>
      <w:r>
        <w:t xml:space="preserve"> är knuten till gamla levande aspar och orsakar karaktäristiska inbuktningar i stammen (så kallad nekroser). Slutavverknings- och gallringsåtgärder i löv- och blandskogsbestånd som innebär att tillgången på grov asp minskar är ett hot mot arten. Det är viktigt att äldre aspar och aspbestånd sparas och för att gynna arten på sikt bör aspinslagen i t.ex. bergbranter, raviner, skogsbryn och kring äldre odlingsmarker generellt sparas i större utsträckning än vad som görs idag. Stor aspticka är typisk art för </w:t>
      </w:r>
      <w:r>
        <w:rPr>
          <w:i/>
        </w:rPr>
        <w:t xml:space="preserve">9010 Taiga </w:t>
      </w:r>
      <w:r>
        <w:t xml:space="preserve">och </w:t>
      </w:r>
      <w:r>
        <w:rPr>
          <w:i/>
        </w:rPr>
        <w:t>9030 Landhöjningsskog</w:t>
      </w:r>
      <w:r>
        <w:t xml:space="preserve"> (SLU Artdatabanken, 2024;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samrådsanmälda skogen: garnlav (VU, T), lunglav (NT, T), stor aspticka (S, T), stuplav (S, T) och vedticka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