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50533-2023 i Örnsköldsviks kommun</w:t>
      </w:r>
    </w:p>
    <w:p>
      <w:r>
        <w:t>Denna tillsynsbegäran behandlar höga naturvärden i avverkningsanmälan A 50533-2023 i Örnsköldsviks kommun som inkom 2023-10-18 och omfattar 2,0 ha.</w:t>
      </w:r>
    </w:p>
    <w:p>
      <w:pPr>
        <w:pStyle w:val="Caption"/>
      </w:pPr>
      <w:r>
        <w:drawing>
          <wp:inline xmlns:a="http://schemas.openxmlformats.org/drawingml/2006/main" xmlns:pic="http://schemas.openxmlformats.org/drawingml/2006/picture">
            <wp:extent cx="5486400" cy="5597975"/>
            <wp:docPr id="1" name="Picture 1"/>
            <wp:cNvGraphicFramePr>
              <a:graphicFrameLocks noChangeAspect="1"/>
            </wp:cNvGraphicFramePr>
            <a:graphic>
              <a:graphicData uri="http://schemas.openxmlformats.org/drawingml/2006/picture">
                <pic:pic>
                  <pic:nvPicPr>
                    <pic:cNvPr id="0" name="A 50533-2023 karta.png"/>
                    <pic:cNvPicPr/>
                  </pic:nvPicPr>
                  <pic:blipFill>
                    <a:blip r:embed="rId16"/>
                    <a:stretch>
                      <a:fillRect/>
                    </a:stretch>
                  </pic:blipFill>
                  <pic:spPr>
                    <a:xfrm>
                      <a:off x="0" y="0"/>
                      <a:ext cx="5486400" cy="5597975"/>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7043468, E 634059 i SWEREF 99 TM.</w:t>
      </w:r>
    </w:p>
    <w:p>
      <w:r>
        <w:t>I och inom 2 meter från avverkningsanmälan finns fynd av 13 naturvårdsarter, varav 10 är rödlistade, 4 är fridlysta, 9 är typiska (T) och 1 är signalart (S): knärot (VU, T, §8), skrovlig taggsvamp (VU), gammelgransskål (NT, T), lunglav (NT, T), orange taggsvamp (NT, T), skarp dropptaggsvamp (NT), talltita (NT, §4), vedskivlav (NT, T), violettgrå tagellav (NT, T), vågticka (NT), skinnlav (S, T),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1.03 ha med buffertzonerna och får av detta skäl inte avverkas.</w:t>
      </w:r>
    </w:p>
    <w:p>
      <w:pPr>
        <w:pStyle w:val="Caption"/>
      </w:pPr>
      <w:r>
        <w:drawing>
          <wp:inline xmlns:a="http://schemas.openxmlformats.org/drawingml/2006/main" xmlns:pic="http://schemas.openxmlformats.org/drawingml/2006/picture">
            <wp:extent cx="5486400" cy="7628010"/>
            <wp:docPr id="2" name="Picture 2"/>
            <wp:cNvGraphicFramePr>
              <a:graphicFrameLocks noChangeAspect="1"/>
            </wp:cNvGraphicFramePr>
            <a:graphic>
              <a:graphicData uri="http://schemas.openxmlformats.org/drawingml/2006/picture">
                <pic:pic>
                  <pic:nvPicPr>
                    <pic:cNvPr id="0" name="A 50533-2023 karta knärot.png"/>
                    <pic:cNvPicPr/>
                  </pic:nvPicPr>
                  <pic:blipFill>
                    <a:blip r:embed="rId17"/>
                    <a:stretch>
                      <a:fillRect/>
                    </a:stretch>
                  </pic:blipFill>
                  <pic:spPr>
                    <a:xfrm>
                      <a:off x="0" y="0"/>
                      <a:ext cx="5486400" cy="76280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7043468, E 634059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gammelgransskål (NT, T), lunglav (NT, T), orange taggsvamp (NT, T), vedskivlav (NT, T), violettgrå tagellav (NT, T), skinnlav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