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7587-2024 i Örnsköldsviks kommun</w:t>
      </w:r>
    </w:p>
    <w:p>
      <w:r>
        <w:t>Detta dokument behandlar höga naturvärden i avverkningsanmälan A 7587-2024 i Örnsköldsviks kommun. Denna avverkningsanmälan inkom 2024-02-26 00:00:00 och omfattar 10,6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6 naturvårdsarter hittats: dvärgbägarlav (NT), kolflarnlav (NT), orange taggsvamp (NT), skrovlig taggsvamp (NT), svart taggsvamp (NT) och vaddporing (NT). Av dessa är 6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36362"/>
            <wp:docPr id="1" name="Picture 1"/>
            <wp:cNvGraphicFramePr>
              <a:graphicFrameLocks noChangeAspect="1"/>
            </wp:cNvGraphicFramePr>
            <a:graphic>
              <a:graphicData uri="http://schemas.openxmlformats.org/drawingml/2006/picture">
                <pic:pic>
                  <pic:nvPicPr>
                    <pic:cNvPr id="0" name="A 7587-2024 karta.png"/>
                    <pic:cNvPicPr/>
                  </pic:nvPicPr>
                  <pic:blipFill>
                    <a:blip r:embed="rId16"/>
                    <a:stretch>
                      <a:fillRect/>
                    </a:stretch>
                  </pic:blipFill>
                  <pic:spPr>
                    <a:xfrm>
                      <a:off x="0" y="0"/>
                      <a:ext cx="5486400" cy="533636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7089276, E 659002 i SWEREF 99 TM.</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Dvärgbägarlav är typisk art för </w:t>
      </w:r>
      <w:r>
        <w:rPr>
          <w:i/>
        </w:rPr>
        <w:t>9010 Taiga</w:t>
      </w:r>
      <w:r>
        <w:t xml:space="preserve"> (SLU Artdatabanken, 2024; Nitare &amp; Skogsstyrelsen, 2019).</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 xml:space="preserve">Orange taggsvamp (NT) </w:t>
      </w:r>
      <w:r>
        <w:t xml:space="preserve">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Orange taggsvamp är typisk art för </w:t>
      </w:r>
      <w:r>
        <w:rPr>
          <w:i/>
        </w:rPr>
        <w:t>9010 Taiga</w:t>
      </w:r>
      <w:r>
        <w:t xml:space="preserve"> (SLU Artdatabanken, 2024).</w:t>
      </w:r>
    </w:p>
    <w:p>
      <w:r>
        <w:rPr>
          <w:b/>
        </w:rPr>
        <w:t xml:space="preserve">Skrovlig taggsvamp (NT) </w:t>
      </w:r>
      <w:r>
        <w:t>bildar mykorrhiza med tall i äldre tallskog, framför allt på tallhed. Den växer huvudsakligen i äldre barrskog som hotas av slutavverkning. Genom att äldre barrskogar och naturskogar blir allt sällsyntare, missgynnas arten av skogsbruk. Arten ingår i ett åtgärdsprogram för hotade arter (ÅGP) och en långsiktig tillgång till svampens värdträd behöver säkras genom att växtplatserna undantas från avverkning. Skrovlig taggsvamp är globalt rödlistad som nära hotad (NT) vilket innebär att Sverige har ett internationellt ansvar för arten (IUCN, 2025; SLU Artdatabanken, 2024; Nitare, 2006).</w:t>
      </w:r>
    </w:p>
    <w:p>
      <w:r>
        <w:rPr>
          <w:b/>
        </w:rPr>
        <w:t xml:space="preserve">Svart taggsvamp (NT) </w:t>
      </w:r>
      <w:r>
        <w:t>bildar huvudsakligen mykorrhiza med gran och tall, men även med ek och bok. Slutavverkning utgör det största hotet mot arten och den överlever sannolikt inte en föryngringshuggning då barrträdens rötter dör efter avverkningen. Förekomsterna i barrskog är särskilt utsatta eftersom arten föredrar att växa i äldre, virkesrika skogar med högre bonitet, som avverkas i rask takt. Fler äldre, virkesrika barrskogar med högre bonitet måste formellt skyddas som biotopskyddsområden eller naturreservat. Även oskyddade växtplatser i lövskogsbiotoper bör få ett starkt skydd. Skogsområden med svart taggsvamp bör inte gallras eller plockhuggas om inte huggningen efterföljs av skogsbete (SLU Artdatabanken, 2024).</w:t>
      </w:r>
    </w:p>
    <w:p>
      <w:r>
        <w:rPr>
          <w:b/>
        </w:rPr>
        <w:t xml:space="preserve">Vaddporing (NT) </w:t>
      </w:r>
      <w:r>
        <w:t>är en brunrötande vednedbrytare som hittas på undersidan av liggande murken tallved i olika former. Substratet utgörs framför allt av den typ av hård, kådimpregnerad och ofta kolad tallved som skapas i brandpräglad skog. Vedtypen nybildas i mycket liten omfattning och det är sannolikt att arten upplever en utdöendeskuld. För att garantera artens fortlevnad bör man både säkra att artens växtplatser hålls intakta samt att långsiktigt säkerställa att ny ved tillkommer, allra helst i omedelbar anslutning till artens växtplatser. Skoglig gallring och annat uttag av virke innebär ett hot mot arten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6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2026-02-22</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