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10146-2025 i Örnsköldsviks kommun</w:t>
      </w:r>
    </w:p>
    <w:p>
      <w:r>
        <w:t>Denna tillsynsbegäran behandlar höga naturvärden i avverkningsanmälan A 10146-2025 i Örnsköldsviks kommun som inkom 2025-03-03 och omfattar 5,0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10146-2025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7007350, E 660609 i SWEREF 99 TM.</w:t>
      </w:r>
    </w:p>
    <w:p>
      <w:r>
        <w:t>I avverkningsanmälan finns fynd av 17 naturvårdsarter, varav 9 är rödlistade, 2 är fridlysta, 15 är typiska (T) och 7 är signalarter (S): långskägg (EN, §8), garnlav (VU, T), doftskinn (NT, T), gammelgransskål (NT, T), lunglav (NT, T), rosenticka (NT, T), ullticka (NT, T), violettgrå tagellav (NT, T), vitgrynig nållav (NT), blodticka (S, T), bronshjon (S, T), bårdlav (S, T), gulnål (S, T), korallblylav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lunglav (NT, T), rosenticka (NT, T), ullticka (NT, T), violettgrå tagellav (NT, T), blodticka (S, T), bronshjon (S, T), bårdlav (S, T), gulnål (S, T), korallblylav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