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14132-2026 i Örnsköldsviks kommun</w:t>
      </w:r>
    </w:p>
    <w:p>
      <w:r>
        <w:t>Detta klagomål behandlar höga naturvärden i avverkningsanmälan A 14132-2026 i Örnsköldsviks kommun som inkom 2026-03-18 och omfattar 3,3 ha.</w:t>
      </w:r>
    </w:p>
    <w:p>
      <w:pPr>
        <w:pStyle w:val="Caption"/>
      </w:pPr>
      <w:r>
        <w:drawing>
          <wp:inline xmlns:a="http://schemas.openxmlformats.org/drawingml/2006/main" xmlns:pic="http://schemas.openxmlformats.org/drawingml/2006/picture">
            <wp:extent cx="5486400" cy="4981123"/>
            <wp:docPr id="1" name="Picture 1"/>
            <wp:cNvGraphicFramePr>
              <a:graphicFrameLocks noChangeAspect="1"/>
            </wp:cNvGraphicFramePr>
            <a:graphic>
              <a:graphicData uri="http://schemas.openxmlformats.org/drawingml/2006/picture">
                <pic:pic>
                  <pic:nvPicPr>
                    <pic:cNvPr id="0" name="A 14132-2026 karta.png"/>
                    <pic:cNvPicPr/>
                  </pic:nvPicPr>
                  <pic:blipFill>
                    <a:blip r:embed="rId16"/>
                    <a:stretch>
                      <a:fillRect/>
                    </a:stretch>
                  </pic:blipFill>
                  <pic:spPr>
                    <a:xfrm>
                      <a:off x="0" y="0"/>
                      <a:ext cx="5486400" cy="4981123"/>
                    </a:xfrm>
                    <a:prstGeom prst="rect"/>
                  </pic:spPr>
                </pic:pic>
              </a:graphicData>
            </a:graphic>
          </wp:inline>
        </w:drawing>
      </w:r>
    </w:p>
    <w:p>
      <w:pPr>
        <w:pStyle w:val="Caption"/>
        <w:spacing w:after="240"/>
      </w:pPr>
      <w:r>
        <w:t>Figur 1. Fyndplatser för naturvårdsarter i och inom 2 meter från avverkningsanmälan. Markörer utan svart kant är placerade på fyndplatsen. Markörer med svart kant är placerade vid sidan av fyndplatsen och har ett svart streck som visar fyndplatsens exakta position. Kartans mittpunktskoordinat är N 7053968, E 668425 i SWEREF 99 TM.</w:t>
      </w:r>
    </w:p>
    <w:p>
      <w:r>
        <w:t>I och inom 2 meter från avverkningsanmälan finns fynd av 2 naturvårdsarter, varav 2 är rödlistade och 2 är typiska (T): dvärgbägarlav (NT, T) och kolflarnlav (NT, 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Dvärgbägarlav (NT)</w:t>
      </w:r>
      <w:r>
        <w:t xml:space="preserve"> förekommer över hela Sverige på gammal hård ved, huvudsakligen på tall men i södra Sverige även på ek. Veden utgörs framförallt av grova stubbar, lågor och grenar. Substratet har blivit sällsyntare och nybildning av substrat sker bara i begränsad omfattning. Arten hotas av att grova lågor blir allt sällsyntare i dagens kulturskogar samt att nybildningen av lämpliga substrat går mycket långsamt. En riklig tillgång på gamla tall- eller eklågor måste säkerställas på artens lokaler. Dvärgbägarlav är typisk art för </w:t>
      </w:r>
      <w:r>
        <w:rPr>
          <w:i/>
        </w:rPr>
        <w:t>9010 Taiga</w:t>
      </w:r>
      <w:r>
        <w:t xml:space="preserve"> (SLU Artdatabanken, 2024; Nitare &amp; Skogsstyrelsen, 2019).</w:t>
      </w:r>
    </w:p>
    <w:p>
      <w:r>
        <w:rPr>
          <w:b/>
        </w:rPr>
        <w:t>Kolflarnlav (NT)</w:t>
      </w:r>
      <w:r>
        <w:t xml:space="preserve"> är brandberoende och växer nästan uteslutande på kolad hård kärnved av tall. Etableringen verkar ske först 100–300 år efter brand och nytt substrat nybildas i mycket begränsad omfattning. Avverkning av tallskog av naturskogskaraktär med spår av återkommande bränder är ett hot och mängden lämplig ved att växa på för arten minskar dels på grund av naturlig nedbrytning men framförallt på grund av att det förstörs i samband med slutavverkningar, gallringar och markberedning. Såväl kolflarnlav som mörk kolflarnlav har glänsande bålfjäll och förekommer främst i tall- och blandbarrskogar av naturskogskaraktär med spår av återkommande bränder. Skogar som dessa hyser höga biologiska värden och bör skyddas. Kolflarnlav är typisk art för </w:t>
      </w:r>
      <w:r>
        <w:rPr>
          <w:i/>
        </w:rPr>
        <w:t>9010 Taiga</w:t>
      </w:r>
      <w:r>
        <w:t xml:space="preserve"> (SLU Artdatabanken, 2024).</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2 naturvårdsarter varav 2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2026-10-26</w:t>
      <w:br/>
      <w:br/>
    </w:r>
    <w:r>
      <w:t>Till: Holmen skog AB</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