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59365-2025 i Örnsköldsviks kommun</w:t>
      </w:r>
    </w:p>
    <w:p>
      <w:r>
        <w:t>Denna tillsynsbegäran behandlar höga naturvärden i avverkningsanmälan A 59365-2025 i Örnsköldsviks kommun som inkom 2025-11-28 och omfattar 3,6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9365-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7083396, E 667478 i SWEREF 99 TM.</w:t>
      </w:r>
    </w:p>
    <w:p>
      <w:r>
        <w:t>I och inom 23 meter från avverkningsanmälan finns fynd av 18 naturvårdsarter, varav 18 är rödlistade och 8 är typiska (T): goliatmusseron (VU, T), skrovlig taggsvamp (VU), smalfotad taggsvamp (VU), tallgråticka (VU), blå taggsvamp (NT, T), dropptaggsvamp (NT, T), kolflarnlav (NT, T), motaggsvamp (NT, T), orange taggsvamp (NT, T), Phellodon aquiloniniger (NT), reliktbock (NT, T), skarp dropptaggsvamp (NT), tallriska (NT), talltaggsvamp (NT), vaddporing (NT), vaxspindling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kolflarnlav (NT, T), motaggsvamp (NT, T), orange taggsvamp (NT, T), reliktbock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