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43604-2023 i Örnsköldsviks kommun</w:t>
      </w:r>
    </w:p>
    <w:p>
      <w:r>
        <w:t>Detta dokument behandlar höga naturvärden i avverkningsanmälan A 43604-2023 i Örnsköldsviks kommun. Denna avverkningsanmälan inkom 2023-09-12 00:00:00 och omfattar 38,7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vit aspticka (VU), garnlav (NT), kolflarnlav (NT), Leptoporus mollis (NT), tallriska (NT), talltita (NT, §4), ullticka (NT), vedskivlav (NT) och stor aspticka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43604-2023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7036268, E 654306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 aspticka (VU)</w:t>
      </w:r>
      <w:r>
        <w:t>, rödlistad som Sårbar (VU), hotas av brist på död ved och alla skogliga åtgärder som innebär att döda eller skadade grova gamla aspar tas bort innebär ett direkt hot. Även slutavverkningar, skoglig gallring eller annat uttag av virke på växtplatsen som ger ett förändrat lokalklimat missgynnar arten. För att säkerställa den vita asptickans fortlevnad bör artens växtplatser, befintliga vindfällen, döende träd och torrakor av asp lämnas intakta. Ett långsiktigt tillförsäkrande om framtida tillgång till ved är en förutsättning för artens fortlevnad i området. De kända lokalerna bör ges ett juridiskt skydd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