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1333-2025 i Örnsköldsviks kommun</w:t>
      </w:r>
    </w:p>
    <w:p>
      <w:r>
        <w:t>Detta klagomål behandlar höga naturvärden i samrådsanmälan S 1333-2025 i Örnsköldsviks kommun som inkom 2025-04-24 och omfattar 16,0 ha.</w:t>
      </w:r>
    </w:p>
    <w:p>
      <w:pPr>
        <w:pStyle w:val="Caption"/>
      </w:pPr>
      <w:r>
        <w:drawing>
          <wp:inline xmlns:a="http://schemas.openxmlformats.org/drawingml/2006/main" xmlns:pic="http://schemas.openxmlformats.org/drawingml/2006/picture">
            <wp:extent cx="5486400" cy="2795990"/>
            <wp:docPr id="1" name="Picture 1"/>
            <wp:cNvGraphicFramePr>
              <a:graphicFrameLocks noChangeAspect="1"/>
            </wp:cNvGraphicFramePr>
            <a:graphic>
              <a:graphicData uri="http://schemas.openxmlformats.org/drawingml/2006/picture">
                <pic:pic>
                  <pic:nvPicPr>
                    <pic:cNvPr id="0" name="S 1333-2025 karta.png"/>
                    <pic:cNvPicPr/>
                  </pic:nvPicPr>
                  <pic:blipFill>
                    <a:blip r:embed="rId16"/>
                    <a:stretch>
                      <a:fillRect/>
                    </a:stretch>
                  </pic:blipFill>
                  <pic:spPr>
                    <a:xfrm>
                      <a:off x="0" y="0"/>
                      <a:ext cx="5486400" cy="279599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7020591, E 632922 i SWEREF 99 TM.</w:t>
      </w:r>
    </w:p>
    <w:p>
      <w:r>
        <w:t>I och inom 8 meter från samrådsanmälan finns fynd av 11 naturvårdsarter, varav 11 är rödlistade och 7 är typiska (T): blå taggsvamp (NT, T), dvärgbägarlav (NT, T), kolflarnlav (NT, T), kortskaftad ärgspik (NT), kötticka (NT), lunglav (NT, T), mörk kolflarnlav (NT), orange taggsvamp (NT, T), stjärntagging (NT,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