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1165-2026 i Örnsköldsviks kommun</w:t>
      </w:r>
    </w:p>
    <w:p>
      <w:r>
        <w:t>Denna tillsynsbegäran behandlar höga naturvärden i samrådsanmälan S 1165-2026 i Örnsköldsviks kommun som inkom 2026-04-23 och omfattar 3,9 ha.</w:t>
      </w:r>
    </w:p>
    <w:p>
      <w:pPr>
        <w:pStyle w:val="Caption"/>
      </w:pPr>
      <w:r>
        <w:drawing>
          <wp:inline xmlns:a="http://schemas.openxmlformats.org/drawingml/2006/main" xmlns:pic="http://schemas.openxmlformats.org/drawingml/2006/picture">
            <wp:extent cx="5486400" cy="5512923"/>
            <wp:docPr id="1" name="Picture 1"/>
            <wp:cNvGraphicFramePr>
              <a:graphicFrameLocks noChangeAspect="1"/>
            </wp:cNvGraphicFramePr>
            <a:graphic>
              <a:graphicData uri="http://schemas.openxmlformats.org/drawingml/2006/picture">
                <pic:pic>
                  <pic:nvPicPr>
                    <pic:cNvPr id="0" name="S 1165-2026 karta.png"/>
                    <pic:cNvPicPr/>
                  </pic:nvPicPr>
                  <pic:blipFill>
                    <a:blip r:embed="rId16"/>
                    <a:stretch>
                      <a:fillRect/>
                    </a:stretch>
                  </pic:blipFill>
                  <pic:spPr>
                    <a:xfrm>
                      <a:off x="0" y="0"/>
                      <a:ext cx="5486400" cy="551292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7021512, E 633345 i SWEREF 99 TM.</w:t>
      </w:r>
    </w:p>
    <w:p>
      <w:r>
        <w:t>I samrådsanmälan finns fynd av 5 naturvårdsarter, varav 4 är rödlistade, 5 är typiska (T) och 1 är signalart (S): blå taggsvamp (NT, T), dropptaggsvamp (NT, T), kolflarnlav (NT, T), lunglav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blå taggsvamp (NT, T), dropptaggsvamp (NT, T), kolflarnlav (NT, T), lunglav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