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59357-2025 i Örnsköldsviks kommun</w:t>
      </w:r>
    </w:p>
    <w:p>
      <w:r>
        <w:t>Detta klagomål behandlar höga naturvärden i avverkningsanmälan A 59357-2025 i Örnsköldsviks kommun som inkom 2025-11-28 och omfattar 3,6 ha.</w:t>
      </w:r>
    </w:p>
    <w:p>
      <w:pPr>
        <w:pStyle w:val="Caption"/>
      </w:pPr>
      <w:r>
        <w:drawing>
          <wp:inline xmlns:a="http://schemas.openxmlformats.org/drawingml/2006/main" xmlns:pic="http://schemas.openxmlformats.org/drawingml/2006/picture">
            <wp:extent cx="5470256" cy="5724000"/>
            <wp:docPr id="1" name="Picture 1"/>
            <wp:cNvGraphicFramePr>
              <a:graphicFrameLocks noChangeAspect="1"/>
            </wp:cNvGraphicFramePr>
            <a:graphic>
              <a:graphicData uri="http://schemas.openxmlformats.org/drawingml/2006/picture">
                <pic:pic>
                  <pic:nvPicPr>
                    <pic:cNvPr id="0" name="A 59357-2025 karta.png"/>
                    <pic:cNvPicPr/>
                  </pic:nvPicPr>
                  <pic:blipFill>
                    <a:blip r:embed="rId16"/>
                    <a:stretch>
                      <a:fillRect/>
                    </a:stretch>
                  </pic:blipFill>
                  <pic:spPr>
                    <a:xfrm>
                      <a:off x="0" y="0"/>
                      <a:ext cx="54702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7083396, E 667478 i SWEREF 99 TM.</w:t>
      </w:r>
    </w:p>
    <w:p>
      <w:r>
        <w:t>I och inom 23 meter från avverkningsanmälan finns fynd av 18 naturvårdsarter, varav 18 är rödlistade och 8 är typiska (T): goliatmusseron (VU, T), skrovlig taggsvamp (VU), smalfotad taggsvamp (VU), tallgråticka (VU), blå taggsvamp (NT, T), dropptaggsvamp (NT, T), kolflarnlav (NT, T), motaggsvamp (NT, T), orange taggsvamp (NT, T), Phellodon aquiloniniger (NT), reliktbock (NT, T), skarp dropptaggsvamp (NT), tallriska (NT), talltaggsvamp (NT), vaddporing (NT), vaxspindling (NT), vedflamlav (NT)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Tallgråticka (VU)</w:t>
      </w:r>
      <w:r>
        <w:t xml:space="preserve"> bildar mykorrhiza med tall och växer främst i ljusöppna skogar på torr, sandig/grusig mark. Den är placerad högst upp i Skogsstyrelsens värdepyramid för bedömning av skog med höga naturvärden och indikerar skyddsvärda tallnaturskogar på sand där det funnits ett ständigt inslag av äldre träd. Tallgråticka är globalt rödlistad som nära hotad (NT) vilket innebär att Sverige har ett internationellt ansvar för arten (SLU Artdatabanken, 2024; Nitare &amp; Skogsstyrelsen, 2019; IUCN, 2020).</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Vaxspindling (NT)</w:t>
      </w:r>
      <w:r>
        <w:t xml:space="preserve"> växer främst i äldre skogar på sandig mark där den bildar mykorrhiza med tall, framförallt på sandiga lavtallhedar. Mager, sandig och brandpräglad tallskog med lång trädkontinuitet bör undantas från trakthyggesbruk och inte kalavverkas. De mest värdefulla lokalerna bör få ett långsiktigt skydd med naturvårdsinriktad skötsel. Arten är placerad högst upp i Skogsstyrelsens värdepyramid för bedömning av skog med höga naturvärden och den är globalt rödlistad som nära hotad (NT), vilket medför ett internationellt ansvar för arten (SLU Artdatabanken, 2024; Nitare &amp; Skogsstyrelsen, 2019; IUCN,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