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33759-2025 i Örnsköldsviks kommun</w:t>
      </w:r>
    </w:p>
    <w:p>
      <w:r>
        <w:t>Detta dokument behandlar höga naturvärden i avverkningsanmälan A 33759-2025 i Örnsköldsviks kommun. Denna avverkningsanmälan inkom 2025-07-04 09:08:40 och omfattar 23,1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 I BILAGA 1 finns artfakta om rödlistade arter.</w:t>
      </w:r>
    </w:p>
    <w:p>
      <w:pPr>
        <w:pStyle w:val="Heading1"/>
      </w:pPr>
      <w:r>
        <w:t>Naturvårdsarter</w:t>
      </w:r>
    </w:p>
    <w:p>
      <w:r>
        <w:t>I avverkningsanmälan har följande 3 naturvårdsarter hittats: kolflarnlav (NT), lunglav (NT) och stuplav (S). Av dessa är 2 rödlistade. För rödlistade arter har rödlistekategorin angivits inom parentes.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120593"/>
            <wp:docPr id="1" name="Picture 1"/>
            <wp:cNvGraphicFramePr>
              <a:graphicFrameLocks noChangeAspect="1"/>
            </wp:cNvGraphicFramePr>
            <a:graphic>
              <a:graphicData uri="http://schemas.openxmlformats.org/drawingml/2006/picture">
                <pic:pic>
                  <pic:nvPicPr>
                    <pic:cNvPr id="0" name="A 33759-2025 karta.png"/>
                    <pic:cNvPicPr/>
                  </pic:nvPicPr>
                  <pic:blipFill>
                    <a:blip r:embed="rId16"/>
                    <a:stretch>
                      <a:fillRect/>
                    </a:stretch>
                  </pic:blipFill>
                  <pic:spPr>
                    <a:xfrm>
                      <a:off x="0" y="0"/>
                      <a:ext cx="5486400" cy="4120593"/>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7088624, E 661099 i SWEREF 99 TM.</w:t>
      </w:r>
    </w:p>
    <w:p>
      <w:r>
        <w:rPr>
          <w:b/>
        </w:rPr>
        <w:t>Kolflarnlav (NT)</w:t>
      </w:r>
      <w:r>
        <w:t xml:space="preserve"> är brandberoende och växer nästan uteslutande på kolad hård kärnved av tall. Etableringen verkar ske först 100–300 år efter brand och nytt substrat nybildas i mycket begränsad omfattning. Avverkning av tallskog av naturskogskaraktär med spår av återkommande bränder är ett hot och mängden lämplig ved att växa på för arten minskar dels på grund av naturlig nedbrytning men framförallt på grund av att det förstörs i samband med slutavverkningar, gallringar och markberedning. Såväl kolflarnlav som mörk kolflarnlav har glänsande bålfjäll och förekommer främst i tall- och blandbarrskogar av naturskogskaraktär med spår av återkommande bränder. Skogar som dessa hyser höga biologiska värden och bör skyddas. Kolflarnlav är typisk art för </w:t>
      </w:r>
      <w:r>
        <w:rPr>
          <w:i/>
        </w:rPr>
        <w:t>9010 Taiga</w:t>
      </w:r>
      <w:r>
        <w:t xml:space="preserve"> (SLU Artdatabanken, 2024).</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Stuplav</w:t>
      </w:r>
      <w:r>
        <w:t xml:space="preserve"> är en mycket bra signalart i hela sitt utbredningsområde och förekommer nästan enbart i skogsmiljöer med höga naturvärden. Den indikerar långvarig förekomst av gamla lövträd och miljöer med konstant hög luftfuktighet. I skogar med suboceaniskt klimat finns det en mycket sällsynt parasit, njurlavsknapp </w:t>
      </w:r>
      <w:r>
        <w:rPr>
          <w:i/>
        </w:rPr>
        <w:t>Pletocarpon nephromeum</w:t>
      </w:r>
      <w:r>
        <w:t xml:space="preserve"> (EN), som växer på stuplav. Ytterligare tre sällsynta lavparasiter, </w:t>
      </w:r>
      <w:r>
        <w:rPr>
          <w:i/>
        </w:rPr>
        <w:t>Protounguicularia nephromatis</w:t>
      </w:r>
      <w:r>
        <w:t xml:space="preserve"> (VU), </w:t>
      </w:r>
      <w:r>
        <w:rPr>
          <w:i/>
        </w:rPr>
        <w:t>Refractohilum galligenum</w:t>
      </w:r>
      <w:r>
        <w:t xml:space="preserve"> (NT) och </w:t>
      </w:r>
      <w:r>
        <w:rPr>
          <w:i/>
        </w:rPr>
        <w:t>Roselliniella nephromatis</w:t>
      </w:r>
      <w:r>
        <w:t xml:space="preserve"> (DD), kan också påträffas på stuplav. Stuplav är typisk art för </w:t>
      </w:r>
      <w:r>
        <w:rPr>
          <w:i/>
        </w:rPr>
        <w:t>9010 Taiga</w:t>
      </w:r>
      <w:r>
        <w:t xml:space="preserve"> (SLU Artdatabanken, 2026; Nitare &amp; Skogsstyrelsen, 2019).</w:t>
      </w:r>
    </w:p>
    <w:p>
      <w:r>
        <w:br w:type="page"/>
      </w:r>
    </w:p>
    <w:p>
      <w:pPr>
        <w:pStyle w:val="Title"/>
      </w:pPr>
      <w:r>
        <w:t>BILAGA 1 – Rödlistade arter</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2026-05-18</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