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34 naturvårdsarter, varav 22 är rödlistade, 7 är fridlysta, 25 är typiska (T) och 8 är signalarter (S): doftticka (VU, T, §8), fläckporing (VU, T), garnlav (VU, T), gräddporing (VU, T), knärot (VU, T, §8), smalfotad taggsvamp (VU), doftskinn (NT, T), dropptaggsvamp (NT, T), dvärgbägarlav (NT, T), gammelgransskål (NT, T), kortskaftad ärgspik (NT), lunglav (NT, T), mörk kolflarnlav (NT), nordtagging (NT), orange taggsvamp (NT, T), skarp dropptaggsvamp (NT), skrovellav (NT, 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6.64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