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13306-2022 i Ragunda kommun</w:t>
      </w:r>
    </w:p>
    <w:p>
      <w:r>
        <w:t>Detta dokument behandlar höga naturvärden i avverkningsanmälan A 13306-2022 i Ragunda kommun. Denna avverkningsanmälan inkom 2022-03-24 och omfattar 3,1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 I BILAGA 1 finns artfakta om rödlistade arter.</w:t>
      </w:r>
    </w:p>
    <w:p>
      <w:pPr>
        <w:pStyle w:val="Heading1"/>
      </w:pPr>
      <w:r>
        <w:t>Naturvårdsarter</w:t>
      </w:r>
    </w:p>
    <w:p>
      <w:r>
        <w:t>I avverkningsanmälan har följande 13 naturvårdsarter hittats: liten aspgelélav (VU), läderlappslav (VU), lunglav (NT), rosenticka (NT), skrovellav (NT), stiftgelélav (NT), ullticka (NT), vedtrappmossa (NT), nordlig fjädermossa (S), skinnlav (S), skuggblåslav (S), stor aspticka (S) och stuplav (S). Av dessa är 8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39340"/>
            <wp:docPr id="1" name="Picture 1"/>
            <wp:cNvGraphicFramePr>
              <a:graphicFrameLocks noChangeAspect="1"/>
            </wp:cNvGraphicFramePr>
            <a:graphic>
              <a:graphicData uri="http://schemas.openxmlformats.org/drawingml/2006/picture">
                <pic:pic>
                  <pic:nvPicPr>
                    <pic:cNvPr id="0" name="A 13306-2022 karta.png"/>
                    <pic:cNvPicPr/>
                  </pic:nvPicPr>
                  <pic:blipFill>
                    <a:blip r:embed="rId16"/>
                    <a:stretch>
                      <a:fillRect/>
                    </a:stretch>
                  </pic:blipFill>
                  <pic:spPr>
                    <a:xfrm>
                      <a:off x="0" y="0"/>
                      <a:ext cx="5486400" cy="483934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7018410, E 551004 i SWEREF 99 TM.</w:t>
      </w:r>
    </w:p>
    <w:p>
      <w:r>
        <w:rPr>
          <w:b/>
        </w:rPr>
        <w:t>Liten aspgelélav (VU)</w:t>
      </w:r>
      <w:r>
        <w:t>, rödlistad som sårbar, växer på asp i halvöppna boreala blandskogar med hög och jämn luftfuktighet. Den omfattas av åtgärdsprogram (ÅGP) för hotade arter på asp i Norrland och är placerad i toppen av Skogsstyrelsens värdepyramid för bedömning av skog med höga naturvärden. Arten har ett mycket högt skyddsvärde då en mycket stor andel (mer än 90 %) av samtliga kända lokaler i världen finns i Sverige. Samtliga lokaler måste skyddas och inslaget av asp i skogsmark måste öka på lång sikt (Naturvårdsverket, 2010; Nitare &amp; Skogsstyrelsen, 2019; SLU Artdatabanken, 2024).</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Läderlappslav (VU)</w:t>
      </w:r>
      <w:r>
        <w:t xml:space="preserve"> växer på gamla lövträd, främst lönn, rönn, asp och ask, på lokaler med hög luftfuktighet. Lämpliga lokaler bör skyddas. Tills vidare bör lokaler i skog undantas från rationell skogsskötsel (SLU Artdatabanken, 2024).</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(SLU Artdatabanken, 2024; Nitare &amp; Skogsstyrelsen, 2019).</w:t>
      </w:r>
    </w:p>
    <w:p>
      <w:r>
        <w:rPr>
          <w:b/>
        </w:rPr>
        <w:t>Stiftgelélav (NT)</w:t>
      </w:r>
      <w:r>
        <w:t xml:space="preserve"> växer på gamla aspar och sälgar i blandskogar med hög luftfuktighet. Slutavverkning och vedhuggning är de största hoten och lokaler bör undantas från rationell skogsskötsel. På lång sikt måste inslaget av asp öka i svensk skog (SLU Artdatabanken, 2024).</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r>
        <w:rPr>
          <w:b/>
        </w:rPr>
        <w:t xml:space="preserve">Vedtrappmossa (NT) </w:t>
      </w:r>
      <w:r>
        <w:t>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(SLU Artdatabanken, 2024).</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