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25234-2026 i Ragunda kommun</w:t>
      </w:r>
    </w:p>
    <w:p>
      <w:r>
        <w:t>Denna tillsynsbegäran behandlar höga naturvärden i avverkningsanmälan A 25234-2026 i Ragunda kommun som inkom 2026-06-02 och omfattar 15,5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06777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234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06777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7026655, E 531108 i SWEREF 99 TM.</w:t>
      </w:r>
    </w:p>
    <w:p>
      <w:r>
        <w:t>I avverkningsanmälan finns fynd av 2 naturvårdsarter, varav 1 är fridlyst, 2 är typiska (T) och 2 är signalarter (S): grönkulla (S, T, §8) och kransrams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Grönkulla (§8) </w:t>
      </w:r>
      <w:r>
        <w:t xml:space="preserve">är typisk art för </w:t>
      </w:r>
      <w:r>
        <w:rPr>
          <w:i/>
        </w:rPr>
        <w:t xml:space="preserve">9040 Fjällbjörkskog, 9070 Trädklädd betesmark, 6170 Alpina kalkgräsmarker, 6520 Höglänta slåtterängar </w:t>
      </w:r>
      <w:r>
        <w:t>och</w:t>
      </w:r>
      <w:r>
        <w:rPr>
          <w:i/>
        </w:rPr>
        <w:t xml:space="preserve"> 6210 Kalkgräsmarker </w:t>
      </w:r>
      <w:r>
        <w:t>(SLU Artdatabanken, 2025).</w:t>
      </w:r>
    </w:p>
    <w:p>
      <w:r>
        <w:rPr>
          <w:b/>
        </w:rPr>
        <w:t>Kransrams</w:t>
      </w:r>
      <w:r>
        <w:t xml:space="preserve"> är typisk art för </w:t>
      </w:r>
      <w:r>
        <w:rPr>
          <w:i/>
        </w:rPr>
        <w:t xml:space="preserve">9020 Nordlig ädellövskog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