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41877-2025 i Ragunda kommun</w:t>
      </w:r>
    </w:p>
    <w:p>
      <w:r>
        <w:t>Detta dokument behandlar höga naturvärden i avverkningsanmälan A 41877-2025 i Ragunda kommun. Denna avverkningsanmälan inkom 2025-09-03 08:17:42 och omfattar 27,7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duvhök (NT, §4), gammelgransskål (NT), garnlav (NT), granticka (NT), lunglav (NT), mörk kolflarnlav (NT), rosenticka (NT), skrovellav (NT), talltita (NT, §4), tretåig hackspett (NT, §4), ullticka (NT), bollvitmossa (S), bårdlav (S), dropptaggsvamp (S), grönpyrola (S), luddlav (S), norrlandslav (S), plattlummer (S, §9), stuplav (S), lavskrika (§4), tjäder (§4) och revlummer (§9).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0641"/>
            <wp:docPr id="1" name="Picture 1"/>
            <wp:cNvGraphicFramePr>
              <a:graphicFrameLocks noChangeAspect="1"/>
            </wp:cNvGraphicFramePr>
            <a:graphic>
              <a:graphicData uri="http://schemas.openxmlformats.org/drawingml/2006/picture">
                <pic:pic>
                  <pic:nvPicPr>
                    <pic:cNvPr id="0" name="A 41877-2025 karta.png"/>
                    <pic:cNvPicPr/>
                  </pic:nvPicPr>
                  <pic:blipFill>
                    <a:blip r:embed="rId16"/>
                    <a:stretch>
                      <a:fillRect/>
                    </a:stretch>
                  </pic:blipFill>
                  <pic:spPr>
                    <a:xfrm>
                      <a:off x="0" y="0"/>
                      <a:ext cx="5486400" cy="5030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7014976, E 548493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duvhök (NT, §4), talltita (NT, §4), tretåig hackspett (NT, §4), plattlummer (S, §9), lavskrika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16 fyndplatser för knärot registrerade på Artportalen. Figur 2 visar gränserna för buffertzoner på 50 m, som behöver lämnas kring fyndplatserna för att knärotslokalerna inte ska försvinna vid en avverkning. Av det avverkningsanmälda området överlappar 8.41 ha med buffertzonerna och får av detta skäl inte avverkas.</w:t>
      </w:r>
    </w:p>
    <w:p>
      <w:pPr>
        <w:pStyle w:val="Caption"/>
      </w:pPr>
      <w:r>
        <w:drawing>
          <wp:inline xmlns:a="http://schemas.openxmlformats.org/drawingml/2006/main" xmlns:pic="http://schemas.openxmlformats.org/drawingml/2006/picture">
            <wp:extent cx="5486400" cy="6305913"/>
            <wp:docPr id="2" name="Picture 2"/>
            <wp:cNvGraphicFramePr>
              <a:graphicFrameLocks noChangeAspect="1"/>
            </wp:cNvGraphicFramePr>
            <a:graphic>
              <a:graphicData uri="http://schemas.openxmlformats.org/drawingml/2006/picture">
                <pic:pic>
                  <pic:nvPicPr>
                    <pic:cNvPr id="0" name="A 41877-2025 karta knärot.png"/>
                    <pic:cNvPicPr/>
                  </pic:nvPicPr>
                  <pic:blipFill>
                    <a:blip r:embed="rId17"/>
                    <a:stretch>
                      <a:fillRect/>
                    </a:stretch>
                  </pic:blipFill>
                  <pic:spPr>
                    <a:xfrm>
                      <a:off x="0" y="0"/>
                      <a:ext cx="5486400" cy="630591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7014976, E 548493 i SWEREF 99 TM.</w:t>
      </w:r>
    </w:p>
    <w:p>
      <w:pPr>
        <w:pStyle w:val="Caption"/>
      </w:pP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20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