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60048-2020 i Ragunda kommun</w:t>
      </w:r>
    </w:p>
    <w:p>
      <w:r>
        <w:t>Detta dokument behandlar höga naturvärden i avverkningsanmälan A 60048-2020 i Ragunda kommun. Denna avverkningsanmälan inkom 2020-11-16 och omfattar 3,6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13 naturvårdsarter hittats: blanksvart spiklav (NT), dvärgbägarlav (NT), kolflarnlav (NT), svart taggsvamp (NT), vitgrynig nållav (NT), bollvitmossa (S), dropptaggsvamp (S), rödgul trumpetsvamp (S), stuplav (S), svavelriska (S), brudsporre (§8), fläcknycklar (§8) och blåsippa (§9).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65909"/>
            <wp:docPr id="1" name="Picture 1"/>
            <wp:cNvGraphicFramePr>
              <a:graphicFrameLocks noChangeAspect="1"/>
            </wp:cNvGraphicFramePr>
            <a:graphic>
              <a:graphicData uri="http://schemas.openxmlformats.org/drawingml/2006/picture">
                <pic:pic>
                  <pic:nvPicPr>
                    <pic:cNvPr id="0" name="A 60048-2020 karta.png"/>
                    <pic:cNvPicPr/>
                  </pic:nvPicPr>
                  <pic:blipFill>
                    <a:blip r:embed="rId16"/>
                    <a:stretch>
                      <a:fillRect/>
                    </a:stretch>
                  </pic:blipFill>
                  <pic:spPr>
                    <a:xfrm>
                      <a:off x="0" y="0"/>
                      <a:ext cx="5486400" cy="54659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7027541, E 533671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 xml:space="preserve">Bollvitmossa </w:t>
      </w:r>
      <w:r>
        <w:t>är en bra signalart inom hela sitt utbredningsområde. Vanligast är den i naturvårdsintressanta tallsumpskogar. Även gransumpskogar med bollvitmossa har normalt höga naturvärden. Arten indikerar skogsmark med stabila hydrologiska förhållanden och sannolikt även lång skoglig kontinuitet (Nitare &amp; Skogsstyrelsen, 2019).</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 xml:space="preserve">Svart taggsvamp (NT) </w:t>
      </w:r>
      <w:r>
        <w:t>bildar huvudsakligen mykorrhiza med gran och tall, men även med ek och bok. Slutavverkning utgör det största hotet mot arten och den överlever sannolikt inte en föryngringshuggning då barrträdens rötter dör efter avverkningen. Förekomsterna i barrskog är särskilt utsatta eftersom arten föredrar att växa i äldre, virkesrika skogar med högre bonitet, som avverkas i rask takt. Fler äldre, virkesrika barrskogar med högre bonitet måste formellt skyddas som biotopskyddsområden eller naturreservat. Även oskyddade växtplatser i lövskogsbiotoper bör få ett starkt skydd. Skogsområden med svart taggsvamp bör inte gallras eller plockhuggas om inte huggningen efterföljs av skogsbete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brudsporre (§8), fläcknycklar (§8) och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