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357-2020 i Ragund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