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57915-2025 i Ragunda kommun</w:t>
      </w:r>
    </w:p>
    <w:p>
      <w:r>
        <w:t>Detta klagomål behandlar höga naturvärden i avverkningsanmälan A 57915-2025 i Ragunda kommun som inkom 2025-11-20 och omfattar 6,4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57915-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7008975, E 521104 i SWEREF 99 TM.</w:t>
      </w:r>
    </w:p>
    <w:p>
      <w:r>
        <w:t>I och inom 14 meter från avverkningsanmälan finns fynd av 32 naturvårdsarter, varav 24 är rödlistade, 5 är fridlysta, 26 är typiska (T) och 5 är signalarter (S): kolticka (CR), fläckporing (VU, T), garnlav (VU, T), gräddporing (VU, T), knärot (VU, T, §8), brunpudrad nållav (NT, T), dropptaggsvamp (NT, T), gammelgransskål (NT, T), kolflarnlav (NT, T), liten svartspik (NT), lunglav (NT, T), mörk kolflarnlav (NT), nordtagging (NT), rosa skärelav (NT, T), rosenticka (NT, T), rynkskinn (NT, T), stiftgelélav (NT, T), talltagel (NT, T), tretåig hackspett (NT, T, §4), ullticka (NT, T), vedflamlav (NT), vedskivlav (NT, T), vedtrappmossa (NT, T), vitgrynig nållav (NT), bårdlav (S, T), grönpyrola (S, T), nästlav (S, T), skinnlav (S, T), vedticka (S, T), blåsippa (T, §9), järpe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2.47 ha med buffertzonerna och får av detta skäl inte avverkas.</w:t>
      </w:r>
    </w:p>
    <w:p>
      <w:pPr>
        <w:pStyle w:val="Caption"/>
      </w:pPr>
      <w:r>
        <w:drawing>
          <wp:inline xmlns:a="http://schemas.openxmlformats.org/drawingml/2006/main" xmlns:pic="http://schemas.openxmlformats.org/drawingml/2006/picture">
            <wp:extent cx="5486400" cy="6119365"/>
            <wp:docPr id="2" name="Picture 2"/>
            <wp:cNvGraphicFramePr>
              <a:graphicFrameLocks noChangeAspect="1"/>
            </wp:cNvGraphicFramePr>
            <a:graphic>
              <a:graphicData uri="http://schemas.openxmlformats.org/drawingml/2006/picture">
                <pic:pic>
                  <pic:nvPicPr>
                    <pic:cNvPr id="0" name="A 57915-2025 karta knärot.png"/>
                    <pic:cNvPicPr/>
                  </pic:nvPicPr>
                  <pic:blipFill>
                    <a:blip r:embed="rId17"/>
                    <a:stretch>
                      <a:fillRect/>
                    </a:stretch>
                  </pic:blipFill>
                  <pic:spPr>
                    <a:xfrm>
                      <a:off x="0" y="0"/>
                      <a:ext cx="5486400" cy="61193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7008975, E 521104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