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39365-2024 i Ragunda kommun</w:t>
      </w:r>
    </w:p>
    <w:p>
      <w:r>
        <w:t>Detta klagomål behandlar höga naturvärden i avverkningsanmälan A 39365-2024 i Ragunda kommun som inkom 2024-09-16 och omfattar 7,3 ha.</w:t>
      </w:r>
    </w:p>
    <w:p>
      <w:pPr>
        <w:pStyle w:val="Caption"/>
      </w:pPr>
      <w:r>
        <w:drawing>
          <wp:inline xmlns:a="http://schemas.openxmlformats.org/drawingml/2006/main" xmlns:pic="http://schemas.openxmlformats.org/drawingml/2006/picture">
            <wp:extent cx="5486400" cy="3964914"/>
            <wp:docPr id="1" name="Picture 1"/>
            <wp:cNvGraphicFramePr>
              <a:graphicFrameLocks noChangeAspect="1"/>
            </wp:cNvGraphicFramePr>
            <a:graphic>
              <a:graphicData uri="http://schemas.openxmlformats.org/drawingml/2006/picture">
                <pic:pic>
                  <pic:nvPicPr>
                    <pic:cNvPr id="0" name="A 39365-2024 karta.png"/>
                    <pic:cNvPicPr/>
                  </pic:nvPicPr>
                  <pic:blipFill>
                    <a:blip r:embed="rId16"/>
                    <a:stretch>
                      <a:fillRect/>
                    </a:stretch>
                  </pic:blipFill>
                  <pic:spPr>
                    <a:xfrm>
                      <a:off x="0" y="0"/>
                      <a:ext cx="5486400" cy="39649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7016957, E 551817 i SWEREF 99 TM.</w:t>
      </w:r>
    </w:p>
    <w:p>
      <w:r>
        <w:t>I och inom 24 meter från avverkningsanmälan finns fynd av 9 naturvårdsarter, varav 4 är rödlistade, 1 är fridlyst, 9 är typiska (T) och 5 är signalarter (S): gammelgransskål (NT, T), lunglav (NT, T), ullticka (NT, T), vedtrappmossa (NT, T), korallblylav (S, T), plattlummer (S, T, §9), stor aspticka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0.08 ha med buffertzonerna och får av detta skäl inte avverkas.</w:t>
      </w:r>
    </w:p>
    <w:p>
      <w:pPr>
        <w:pStyle w:val="Caption"/>
      </w:pPr>
      <w:r>
        <w:drawing>
          <wp:inline xmlns:a="http://schemas.openxmlformats.org/drawingml/2006/main" xmlns:pic="http://schemas.openxmlformats.org/drawingml/2006/picture">
            <wp:extent cx="5486400" cy="3719817"/>
            <wp:docPr id="2" name="Picture 2"/>
            <wp:cNvGraphicFramePr>
              <a:graphicFrameLocks noChangeAspect="1"/>
            </wp:cNvGraphicFramePr>
            <a:graphic>
              <a:graphicData uri="http://schemas.openxmlformats.org/drawingml/2006/picture">
                <pic:pic>
                  <pic:nvPicPr>
                    <pic:cNvPr id="0" name="A 39365-2024 karta knärot.png"/>
                    <pic:cNvPicPr/>
                  </pic:nvPicPr>
                  <pic:blipFill>
                    <a:blip r:embed="rId17"/>
                    <a:stretch>
                      <a:fillRect/>
                    </a:stretch>
                  </pic:blipFill>
                  <pic:spPr>
                    <a:xfrm>
                      <a:off x="0" y="0"/>
                      <a:ext cx="5486400" cy="37198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7016957, E 551817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