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25702-2026 i Ragunda kommun</w:t>
      </w:r>
    </w:p>
    <w:p>
      <w:r>
        <w:t>Detta klagomål behandlar höga naturvärden i avverkningsanmälan A 25702-2026 i Ragunda kommun som inkom 2026-06-05 och omfattar 3,5 ha.</w:t>
      </w:r>
    </w:p>
    <w:p>
      <w:pPr>
        <w:pStyle w:val="Caption"/>
      </w:pPr>
      <w:r>
        <w:drawing>
          <wp:inline xmlns:a="http://schemas.openxmlformats.org/drawingml/2006/main" xmlns:pic="http://schemas.openxmlformats.org/drawingml/2006/picture">
            <wp:extent cx="5369938" cy="5724000"/>
            <wp:docPr id="1" name="Picture 1"/>
            <wp:cNvGraphicFramePr>
              <a:graphicFrameLocks noChangeAspect="1"/>
            </wp:cNvGraphicFramePr>
            <a:graphic>
              <a:graphicData uri="http://schemas.openxmlformats.org/drawingml/2006/picture">
                <pic:pic>
                  <pic:nvPicPr>
                    <pic:cNvPr id="0" name="A 25702-2026 karta.png"/>
                    <pic:cNvPicPr/>
                  </pic:nvPicPr>
                  <pic:blipFill>
                    <a:blip r:embed="rId16"/>
                    <a:stretch>
                      <a:fillRect/>
                    </a:stretch>
                  </pic:blipFill>
                  <pic:spPr>
                    <a:xfrm>
                      <a:off x="0" y="0"/>
                      <a:ext cx="5369938"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7030331, E 527108 i SWEREF 99 TM.</w:t>
      </w:r>
    </w:p>
    <w:p>
      <w:r>
        <w:t>Inom 16 meter från avverkningsanmälan finns fynd av 2 naturvårdsarter, varav 1 är typisk (T) och 2 är signalarter (S): kransrams (S, T) och källmossor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Kransrams</w:t>
      </w:r>
      <w:r>
        <w:t xml:space="preserve"> är typisk art för </w:t>
      </w:r>
      <w:r>
        <w:rPr>
          <w:i/>
        </w:rPr>
        <w:t xml:space="preserve">9020 Nordlig ädellövskog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