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60048-2020 i Ragunda kommun</w:t>
      </w:r>
    </w:p>
    <w:p>
      <w:r>
        <w:t>Detta dokument behandlar höga naturvärden i avverkningsanmälan A 60048-2020 i Ragunda kommun. Denna avverkningsanmälan inkom 2020-11-16 och omfattar 3,6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13 naturvårdsarter hittats: blanksvart spiklav (NT), dvärgbägarlav (NT), kolflarnlav (NT), svart taggsvamp (NT), vitgrynig nållav (NT), bollvitmossa (S), dropptaggsvamp (S), rödgul trumpetsvamp (S), stuplav (S), svavelriska (S), brudsporre (§8), fläcknycklar (§8) och blåsippa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60048-2020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7027541, E 533671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Bollvitmossa </w:t>
      </w:r>
      <w:r>
        <w:t>är en bra signalart inom hela sitt utbredningsområde. Vanligast är den i naturvårdsintressanta tallsumpskogar. Även gransumpskogar med bollvitmossa har normalt höga naturvärden. Arten indikerar skogsmark med stabila hydrologiska förhållanden och sannolikt även lång skoglig kontinuitet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brudsporre (§8), fläcknycklar (§8) och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13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