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41693-2023 i Ragunda kommun</w:t>
      </w:r>
    </w:p>
    <w:p>
      <w:r>
        <w:t>Detta klagomål behandlar höga naturvärden i avverkningsanmälan A 41693-2023 i Ragunda kommun som inkom 2023-09-07 och omfattar 5,5 ha.</w:t>
      </w:r>
    </w:p>
    <w:p>
      <w:pPr>
        <w:pStyle w:val="Caption"/>
      </w:pPr>
      <w:r>
        <w:drawing>
          <wp:inline xmlns:a="http://schemas.openxmlformats.org/drawingml/2006/main" xmlns:pic="http://schemas.openxmlformats.org/drawingml/2006/picture">
            <wp:extent cx="5385335" cy="5724000"/>
            <wp:docPr id="1" name="Picture 1"/>
            <wp:cNvGraphicFramePr>
              <a:graphicFrameLocks noChangeAspect="1"/>
            </wp:cNvGraphicFramePr>
            <a:graphic>
              <a:graphicData uri="http://schemas.openxmlformats.org/drawingml/2006/picture">
                <pic:pic>
                  <pic:nvPicPr>
                    <pic:cNvPr id="0" name="A 41693-2023 karta.png"/>
                    <pic:cNvPicPr/>
                  </pic:nvPicPr>
                  <pic:blipFill>
                    <a:blip r:embed="rId16"/>
                    <a:stretch>
                      <a:fillRect/>
                    </a:stretch>
                  </pic:blipFill>
                  <pic:spPr>
                    <a:xfrm>
                      <a:off x="0" y="0"/>
                      <a:ext cx="5385335"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7007188, E 555329 i SWEREF 99 TM.</w:t>
      </w:r>
    </w:p>
    <w:p>
      <w:r>
        <w:t>Inom 17 meter från avverkningsanmälan finns fynd av 5 naturvårdsarter, varav 3 är rödlistade, 4 är typiska (T) och 2 är signalarter (S): lunglav (NT, T), rosenticka (NT, T), vitgrynig nållav (NT), luddlav (S,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