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59762-2024 i Ragunda kommun</w:t>
      </w:r>
    </w:p>
    <w:p>
      <w:r>
        <w:t>Denna tillsynsbegäran behandlar höga naturvärden i avverkningsanmälan A 59762-2024 i Ragunda kommun som inkom 2024-12-13 och omfattar 16,9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9762-2024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7017708, E 540337 i SWEREF 99 TM.</w:t>
      </w:r>
    </w:p>
    <w:p>
      <w:r>
        <w:t>I och inom 23 meter från avverkningsanmälan finns fynd av 17 naturvårdsarter, varav 6 är rödlistade, 5 är fridlysta, 15 är typiska (T) och 9 är signalarter (S): dropptaggsvamp (NT, T), kolflarnlav (NT, T), lunglav (NT, T), mörk kolflarnlav (NT), rosenticka (NT, T), skrovellav (NT, T), guckusko (S, T, §7), korallrot (S, T, §8), kransrams (S, T), norrlandslav (S, T), spindelblomster (S, T, §8), stuplav (S, T), tibast (S, T), underviol (S, T), ögonpyrola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lunglav (NT, T), rosenticka (NT, T), skrovellav (NT, T), guckusko (S, T, §7), korallrot (S, T, §8), kransrams (S, T), norrlandslav (S, T), spindelblomster (S, T, §8), stuplav (S, T), tibast (S, T), underviol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