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32475-2023 i Ragunda kommun</w:t>
      </w:r>
    </w:p>
    <w:p>
      <w:r>
        <w:t>Denna tillsynsbegäran behandlar höga naturvärden i avverkningsanmälan A 32475-2023 i Ragunda kommun som inkom 2023-07-13 och omfattar 2,4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2475-2023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7017619, E 553341 i SWEREF 99 TM.</w:t>
      </w:r>
    </w:p>
    <w:p>
      <w:r>
        <w:t>I och inom 24 meter från avverkningsanmälan finns fynd av 12 naturvårdsarter, varav 10 är rödlistade, 1 är fridlyst, 8 är typiska (T) och 2 är signalarter (S): garnlav (VU, T), skrovlig taggsvamp (VU), tallgråticka (VU), blanksvart spiklav (NT), dropptaggsvamp (NT, T), dvärgbägarlav (NT, T), lunglav (NT, T), motaggsvamp (NT, T), skarp dropptaggsvamp (NT), tretåig hackspett (NT, T, §4),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lunglav (NT, T), motaggsvamp (NT, T), tretåig hackspett (NT, T, §4),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